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320"/>
      </w:pPr>
      <w:r>
        <w:rPr>
          <w:rFonts w:hint="eastAsia"/>
        </w:rPr>
        <w:t>2001</w:t>
      </w:r>
      <w:r>
        <w:rPr>
          <w:rFonts w:hint="eastAsia"/>
        </w:rPr>
        <w:t>年实质性会议</w:t>
      </w:r>
    </w:p>
    <w:p w:rsidR="00000000" w:rsidRDefault="00000000"/>
    <w:p w:rsidR="00000000" w:rsidRDefault="00000000">
      <w:pPr>
        <w:pStyle w:val="Heading2"/>
        <w:rPr>
          <w:rFonts w:hint="eastAsia"/>
        </w:rPr>
      </w:pPr>
      <w:r>
        <w:rPr>
          <w:rFonts w:hint="eastAsia"/>
        </w:rPr>
        <w:t>《经济、社会、文化权利国际公约》</w:t>
      </w:r>
      <w:r>
        <w:br/>
      </w:r>
      <w:r>
        <w:rPr>
          <w:rFonts w:hint="eastAsia"/>
        </w:rPr>
        <w:t>执</w:t>
      </w:r>
      <w:r>
        <w:t xml:space="preserve"> </w:t>
      </w:r>
      <w:r>
        <w:rPr>
          <w:rFonts w:hint="eastAsia"/>
        </w:rPr>
        <w:t>行</w:t>
      </w:r>
      <w:r>
        <w:t xml:space="preserve"> </w:t>
      </w:r>
      <w:r>
        <w:rPr>
          <w:rFonts w:hint="eastAsia"/>
        </w:rPr>
        <w:t>情</w:t>
      </w:r>
      <w:r>
        <w:t xml:space="preserve"> </w:t>
      </w:r>
      <w:r>
        <w:rPr>
          <w:rFonts w:hint="eastAsia"/>
        </w:rPr>
        <w:t>况</w:t>
      </w:r>
    </w:p>
    <w:p w:rsidR="00000000" w:rsidRDefault="00000000">
      <w:pPr>
        <w:pStyle w:val="Heading3"/>
        <w:rPr>
          <w:rFonts w:hint="eastAsia"/>
        </w:rPr>
      </w:pPr>
      <w:r>
        <w:rPr>
          <w:rFonts w:hint="eastAsia"/>
        </w:rPr>
        <w:t>缔约国根据《公约》第</w:t>
      </w:r>
      <w:r>
        <w:rPr>
          <w:rFonts w:hint="eastAsia"/>
        </w:rPr>
        <w:t>16</w:t>
      </w:r>
      <w:r>
        <w:rPr>
          <w:rFonts w:hint="eastAsia"/>
        </w:rPr>
        <w:t>条和第</w:t>
      </w:r>
      <w:r>
        <w:rPr>
          <w:rFonts w:hint="eastAsia"/>
        </w:rPr>
        <w:t>17</w:t>
      </w:r>
      <w:r>
        <w:rPr>
          <w:rFonts w:hint="eastAsia"/>
        </w:rPr>
        <w:t>条</w:t>
      </w:r>
      <w:r>
        <w:br/>
      </w:r>
      <w:r>
        <w:rPr>
          <w:rFonts w:hint="eastAsia"/>
        </w:rPr>
        <w:t>提交的初次报告</w:t>
      </w:r>
    </w:p>
    <w:p w:rsidR="00000000" w:rsidRDefault="00000000">
      <w:pPr>
        <w:pStyle w:val="Heading3"/>
        <w:rPr>
          <w:rFonts w:hint="eastAsia"/>
        </w:rPr>
      </w:pPr>
      <w:r>
        <w:rPr>
          <w:rFonts w:hint="eastAsia"/>
        </w:rPr>
        <w:t>增</w:t>
      </w:r>
      <w:r>
        <w:rPr>
          <w:rFonts w:hint="eastAsia"/>
        </w:rPr>
        <w:t xml:space="preserve">  </w:t>
      </w:r>
      <w:r>
        <w:rPr>
          <w:rFonts w:hint="eastAsia"/>
        </w:rPr>
        <w:t>编</w:t>
      </w:r>
    </w:p>
    <w:p w:rsidR="00000000" w:rsidRDefault="00000000">
      <w:pPr>
        <w:pStyle w:val="Heading3"/>
        <w:rPr>
          <w:rFonts w:hint="eastAsia"/>
          <w:u w:val="none"/>
        </w:rPr>
      </w:pPr>
      <w:r>
        <w:rPr>
          <w:u w:val="none"/>
        </w:rPr>
        <w:t xml:space="preserve">     </w:t>
      </w:r>
      <w:r>
        <w:rPr>
          <w:rFonts w:hint="eastAsia"/>
          <w:kern w:val="0"/>
        </w:rPr>
        <w:t>克罗地亚</w:t>
      </w:r>
      <w:r>
        <w:rPr>
          <w:rStyle w:val="FootnoteReference"/>
          <w:u w:val="none"/>
        </w:rPr>
        <w:t xml:space="preserve"> </w:t>
      </w:r>
      <w:r>
        <w:rPr>
          <w:rStyle w:val="FootnoteReference"/>
          <w:u w:val="none"/>
          <w:vertAlign w:val="baseline"/>
        </w:rPr>
        <w:footnoteReference w:customMarkFollows="1" w:id="1"/>
        <w:t>*</w:t>
      </w:r>
      <w:r>
        <w:rPr>
          <w:u w:val="none"/>
        </w:rPr>
        <w:t xml:space="preserve"> </w:t>
      </w:r>
      <w:r>
        <w:rPr>
          <w:rFonts w:hint="eastAsia"/>
          <w:u w:val="none"/>
        </w:rPr>
        <w:t xml:space="preserve"> </w:t>
      </w:r>
      <w:r>
        <w:rPr>
          <w:rStyle w:val="FootnoteReference"/>
          <w:u w:val="none"/>
          <w:vertAlign w:val="baseline"/>
        </w:rPr>
        <w:footnoteReference w:customMarkFollows="1" w:id="2"/>
        <w:t>**</w:t>
      </w:r>
    </w:p>
    <w:p w:rsidR="00000000" w:rsidRDefault="00000000">
      <w:pPr>
        <w:ind w:right="235"/>
        <w:jc w:val="right"/>
      </w:pPr>
      <w:r>
        <w:rPr>
          <w:rFonts w:hint="eastAsia"/>
        </w:rPr>
        <w:t>[2000</w:t>
      </w:r>
      <w:r>
        <w:rPr>
          <w:rFonts w:hint="eastAsia"/>
        </w:rPr>
        <w:t>年</w:t>
      </w:r>
      <w:r>
        <w:rPr>
          <w:rFonts w:hint="eastAsia"/>
        </w:rPr>
        <w:t>7</w:t>
      </w:r>
      <w:r>
        <w:rPr>
          <w:rFonts w:hint="eastAsia"/>
        </w:rPr>
        <w:t>月</w:t>
      </w:r>
      <w:r>
        <w:rPr>
          <w:rFonts w:hint="eastAsia"/>
        </w:rPr>
        <w:t>4</w:t>
      </w:r>
      <w:r>
        <w:rPr>
          <w:rFonts w:hint="eastAsia"/>
        </w:rPr>
        <w:t>日</w:t>
      </w:r>
      <w:r>
        <w:rPr>
          <w:rFonts w:hint="eastAsia"/>
        </w:rPr>
        <w:t>]</w:t>
      </w:r>
    </w:p>
    <w:p w:rsidR="00000000" w:rsidRDefault="00000000">
      <w:pPr>
        <w:pStyle w:val="ac"/>
        <w:keepNext/>
        <w:tabs>
          <w:tab w:val="clear" w:pos="7201"/>
          <w:tab w:val="clear" w:pos="8618"/>
          <w:tab w:val="left" w:pos="7088"/>
          <w:tab w:val="left" w:pos="8080"/>
          <w:tab w:val="left" w:pos="8640"/>
        </w:tabs>
        <w:spacing w:after="120" w:line="336" w:lineRule="auto"/>
        <w:jc w:val="center"/>
        <w:rPr>
          <w:spacing w:val="10"/>
          <w:kern w:val="24"/>
          <w:sz w:val="26"/>
        </w:rPr>
      </w:pPr>
      <w:r>
        <w:br w:type="page"/>
      </w:r>
      <w:r>
        <w:rPr>
          <w:rFonts w:hint="eastAsia"/>
          <w:spacing w:val="10"/>
          <w:kern w:val="24"/>
          <w:sz w:val="26"/>
        </w:rPr>
        <w:t>目</w:t>
      </w:r>
      <w:r>
        <w:rPr>
          <w:spacing w:val="10"/>
          <w:kern w:val="24"/>
          <w:sz w:val="26"/>
        </w:rPr>
        <w:tab/>
      </w:r>
      <w:r>
        <w:rPr>
          <w:rFonts w:hint="eastAsia"/>
          <w:spacing w:val="10"/>
          <w:kern w:val="24"/>
          <w:sz w:val="26"/>
        </w:rPr>
        <w:t>录</w:t>
      </w:r>
    </w:p>
    <w:p w:rsidR="00000000" w:rsidRDefault="00000000">
      <w:pPr>
        <w:pStyle w:val="ac"/>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3"/>
        <w:rPr>
          <w:rFonts w:hint="eastAsia"/>
        </w:rPr>
      </w:pPr>
      <w:r>
        <w:rPr>
          <w:rFonts w:hint="eastAsia"/>
        </w:rPr>
        <w:t>导</w:t>
      </w:r>
      <w:r>
        <w:rPr>
          <w:rFonts w:hint="eastAsia"/>
        </w:rPr>
        <w:t xml:space="preserve">  </w:t>
      </w:r>
      <w:r>
        <w:rPr>
          <w:rFonts w:hint="eastAsia"/>
        </w:rPr>
        <w:t>言</w:t>
      </w:r>
      <w:r>
        <w:t>………………………</w:t>
      </w:r>
      <w:r>
        <w:rPr>
          <w:rFonts w:hint="eastAsia"/>
        </w:rPr>
        <w:tab/>
      </w:r>
      <w:r>
        <w:rPr>
          <w:rFonts w:hint="eastAsia"/>
        </w:rPr>
        <w:tab/>
        <w:t>1</w:t>
      </w:r>
      <w:r>
        <w:rPr>
          <w:rFonts w:hint="eastAsia"/>
        </w:rPr>
        <w:tab/>
        <w:t>-</w:t>
      </w:r>
      <w:r>
        <w:rPr>
          <w:rFonts w:hint="eastAsia"/>
        </w:rPr>
        <w:tab/>
        <w:t>3</w:t>
      </w:r>
      <w:r>
        <w:rPr>
          <w:rFonts w:hint="eastAsia"/>
        </w:rPr>
        <w:tab/>
        <w:t>3</w:t>
      </w:r>
    </w:p>
    <w:p w:rsidR="00000000" w:rsidRDefault="00000000">
      <w:pPr>
        <w:pStyle w:val="a3"/>
        <w:rPr>
          <w:rFonts w:hint="eastAsia"/>
        </w:rPr>
      </w:pPr>
      <w:r>
        <w:rPr>
          <w:rFonts w:hint="eastAsia"/>
        </w:rPr>
        <w:t>第</w:t>
      </w:r>
      <w:r>
        <w:rPr>
          <w:rFonts w:hint="eastAsia"/>
        </w:rPr>
        <w:t>1</w:t>
      </w:r>
      <w:r>
        <w:rPr>
          <w:rFonts w:hint="eastAsia"/>
        </w:rPr>
        <w:t>条</w:t>
      </w:r>
      <w:r>
        <w:t>………………………</w:t>
      </w:r>
      <w:r>
        <w:rPr>
          <w:rFonts w:hint="eastAsia"/>
        </w:rPr>
        <w:tab/>
      </w:r>
      <w:r>
        <w:rPr>
          <w:rFonts w:hint="eastAsia"/>
        </w:rPr>
        <w:tab/>
        <w:t>4</w:t>
      </w:r>
      <w:r>
        <w:rPr>
          <w:rFonts w:hint="eastAsia"/>
        </w:rPr>
        <w:tab/>
        <w:t>-</w:t>
      </w:r>
      <w:r>
        <w:rPr>
          <w:rFonts w:hint="eastAsia"/>
        </w:rPr>
        <w:tab/>
        <w:t>10</w:t>
      </w:r>
      <w:r>
        <w:rPr>
          <w:rFonts w:hint="eastAsia"/>
        </w:rPr>
        <w:tab/>
        <w:t>3</w:t>
      </w:r>
    </w:p>
    <w:p w:rsidR="00000000" w:rsidRDefault="00000000">
      <w:pPr>
        <w:pStyle w:val="a3"/>
        <w:rPr>
          <w:rFonts w:hint="eastAsia"/>
        </w:rPr>
      </w:pPr>
      <w:r>
        <w:rPr>
          <w:rFonts w:hint="eastAsia"/>
        </w:rPr>
        <w:t>第</w:t>
      </w:r>
      <w:r>
        <w:rPr>
          <w:rFonts w:hint="eastAsia"/>
        </w:rPr>
        <w:t>2</w:t>
      </w:r>
      <w:r>
        <w:rPr>
          <w:rFonts w:hint="eastAsia"/>
        </w:rPr>
        <w:t>条</w:t>
      </w:r>
      <w:r>
        <w:t>………………………</w:t>
      </w:r>
      <w:r>
        <w:rPr>
          <w:rFonts w:hint="eastAsia"/>
        </w:rPr>
        <w:tab/>
      </w:r>
      <w:r>
        <w:rPr>
          <w:rFonts w:hint="eastAsia"/>
        </w:rPr>
        <w:tab/>
        <w:t>11</w:t>
      </w:r>
      <w:r>
        <w:rPr>
          <w:rFonts w:hint="eastAsia"/>
        </w:rPr>
        <w:tab/>
        <w:t>-</w:t>
      </w:r>
      <w:r>
        <w:rPr>
          <w:rFonts w:hint="eastAsia"/>
        </w:rPr>
        <w:tab/>
        <w:t>39</w:t>
      </w:r>
      <w:r>
        <w:rPr>
          <w:rFonts w:hint="eastAsia"/>
        </w:rPr>
        <w:tab/>
        <w:t>5</w:t>
      </w:r>
    </w:p>
    <w:p w:rsidR="00000000" w:rsidRDefault="00000000">
      <w:pPr>
        <w:pStyle w:val="a3"/>
      </w:pPr>
      <w:r>
        <w:rPr>
          <w:rFonts w:hint="eastAsia"/>
        </w:rPr>
        <w:t>第</w:t>
      </w:r>
      <w:r>
        <w:rPr>
          <w:rFonts w:hint="eastAsia"/>
        </w:rPr>
        <w:t>3</w:t>
      </w:r>
      <w:r>
        <w:rPr>
          <w:rFonts w:hint="eastAsia"/>
        </w:rPr>
        <w:t>条</w:t>
      </w:r>
      <w:r>
        <w:t>………………………</w:t>
      </w:r>
      <w:r>
        <w:rPr>
          <w:rFonts w:hint="eastAsia"/>
        </w:rPr>
        <w:tab/>
      </w:r>
      <w:r>
        <w:rPr>
          <w:rFonts w:hint="eastAsia"/>
        </w:rPr>
        <w:tab/>
      </w:r>
      <w:r>
        <w:rPr>
          <w:rFonts w:hint="eastAsia"/>
        </w:rPr>
        <w:tab/>
        <w:t>40</w:t>
      </w:r>
      <w:r>
        <w:rPr>
          <w:rFonts w:hint="eastAsia"/>
        </w:rPr>
        <w:tab/>
      </w:r>
      <w:r>
        <w:rPr>
          <w:rFonts w:hint="eastAsia"/>
        </w:rPr>
        <w:tab/>
      </w:r>
      <w:r>
        <w:t>9</w:t>
      </w:r>
    </w:p>
    <w:p w:rsidR="00000000" w:rsidRDefault="00000000">
      <w:pPr>
        <w:pStyle w:val="a3"/>
      </w:pPr>
      <w:r>
        <w:rPr>
          <w:rFonts w:hint="eastAsia"/>
        </w:rPr>
        <w:t>第</w:t>
      </w:r>
      <w:r>
        <w:rPr>
          <w:rFonts w:hint="eastAsia"/>
        </w:rPr>
        <w:t>4</w:t>
      </w:r>
      <w:r>
        <w:rPr>
          <w:rFonts w:hint="eastAsia"/>
        </w:rPr>
        <w:t>条</w:t>
      </w:r>
      <w:r>
        <w:t>………………………</w:t>
      </w:r>
      <w:r>
        <w:rPr>
          <w:rFonts w:hint="eastAsia"/>
        </w:rPr>
        <w:tab/>
      </w:r>
      <w:r>
        <w:rPr>
          <w:rFonts w:hint="eastAsia"/>
        </w:rPr>
        <w:tab/>
        <w:t>41</w:t>
      </w:r>
      <w:r>
        <w:rPr>
          <w:rFonts w:hint="eastAsia"/>
        </w:rPr>
        <w:tab/>
        <w:t>-</w:t>
      </w:r>
      <w:r>
        <w:rPr>
          <w:rFonts w:hint="eastAsia"/>
        </w:rPr>
        <w:tab/>
        <w:t>44</w:t>
      </w:r>
      <w:r>
        <w:rPr>
          <w:rFonts w:hint="eastAsia"/>
        </w:rPr>
        <w:tab/>
      </w:r>
      <w:r>
        <w:t>9</w:t>
      </w:r>
    </w:p>
    <w:p w:rsidR="00000000" w:rsidRDefault="00000000">
      <w:pPr>
        <w:pStyle w:val="a3"/>
      </w:pPr>
      <w:r>
        <w:rPr>
          <w:rFonts w:hint="eastAsia"/>
        </w:rPr>
        <w:t>第</w:t>
      </w:r>
      <w:r>
        <w:rPr>
          <w:rFonts w:hint="eastAsia"/>
        </w:rPr>
        <w:t>5</w:t>
      </w:r>
      <w:r>
        <w:rPr>
          <w:rFonts w:hint="eastAsia"/>
        </w:rPr>
        <w:t>条</w:t>
      </w:r>
      <w:r>
        <w:t>………………………</w:t>
      </w:r>
      <w:r>
        <w:rPr>
          <w:rFonts w:hint="eastAsia"/>
        </w:rPr>
        <w:tab/>
      </w:r>
      <w:r>
        <w:rPr>
          <w:rFonts w:hint="eastAsia"/>
        </w:rPr>
        <w:tab/>
        <w:t>45</w:t>
      </w:r>
      <w:r>
        <w:rPr>
          <w:rFonts w:hint="eastAsia"/>
        </w:rPr>
        <w:tab/>
        <w:t>-</w:t>
      </w:r>
      <w:r>
        <w:rPr>
          <w:rFonts w:hint="eastAsia"/>
        </w:rPr>
        <w:tab/>
        <w:t>47</w:t>
      </w:r>
      <w:r>
        <w:rPr>
          <w:rFonts w:hint="eastAsia"/>
        </w:rPr>
        <w:tab/>
      </w:r>
      <w:r>
        <w:t>10</w:t>
      </w:r>
    </w:p>
    <w:p w:rsidR="00000000" w:rsidRDefault="00000000">
      <w:pPr>
        <w:pStyle w:val="a3"/>
      </w:pPr>
      <w:r>
        <w:rPr>
          <w:rFonts w:hint="eastAsia"/>
        </w:rPr>
        <w:t>第</w:t>
      </w:r>
      <w:r>
        <w:rPr>
          <w:rFonts w:hint="eastAsia"/>
        </w:rPr>
        <w:t>6</w:t>
      </w:r>
      <w:r>
        <w:rPr>
          <w:rFonts w:hint="eastAsia"/>
        </w:rPr>
        <w:t>条</w:t>
      </w:r>
      <w:r>
        <w:t>………………………</w:t>
      </w:r>
      <w:r>
        <w:rPr>
          <w:rFonts w:hint="eastAsia"/>
        </w:rPr>
        <w:tab/>
      </w:r>
      <w:r>
        <w:rPr>
          <w:rFonts w:hint="eastAsia"/>
        </w:rPr>
        <w:tab/>
        <w:t>48</w:t>
      </w:r>
      <w:r>
        <w:rPr>
          <w:rFonts w:hint="eastAsia"/>
        </w:rPr>
        <w:tab/>
        <w:t>-</w:t>
      </w:r>
      <w:r>
        <w:rPr>
          <w:rFonts w:hint="eastAsia"/>
        </w:rPr>
        <w:tab/>
        <w:t>106</w:t>
      </w:r>
      <w:r>
        <w:rPr>
          <w:rFonts w:hint="eastAsia"/>
        </w:rPr>
        <w:tab/>
      </w:r>
      <w:r>
        <w:t>11</w:t>
      </w:r>
    </w:p>
    <w:p w:rsidR="00000000" w:rsidRDefault="00000000">
      <w:pPr>
        <w:pStyle w:val="a3"/>
      </w:pPr>
      <w:r>
        <w:rPr>
          <w:rFonts w:hint="eastAsia"/>
        </w:rPr>
        <w:t>第</w:t>
      </w:r>
      <w:r>
        <w:rPr>
          <w:rFonts w:hint="eastAsia"/>
        </w:rPr>
        <w:t>7</w:t>
      </w:r>
      <w:r>
        <w:rPr>
          <w:rFonts w:hint="eastAsia"/>
        </w:rPr>
        <w:t>条</w:t>
      </w:r>
      <w:r>
        <w:t>………………………</w:t>
      </w:r>
      <w:r>
        <w:rPr>
          <w:rFonts w:hint="eastAsia"/>
        </w:rPr>
        <w:tab/>
      </w:r>
      <w:r>
        <w:rPr>
          <w:rFonts w:hint="eastAsia"/>
        </w:rPr>
        <w:tab/>
        <w:t>107</w:t>
      </w:r>
      <w:r>
        <w:rPr>
          <w:rFonts w:hint="eastAsia"/>
        </w:rPr>
        <w:tab/>
        <w:t>-</w:t>
      </w:r>
      <w:r>
        <w:rPr>
          <w:rFonts w:hint="eastAsia"/>
        </w:rPr>
        <w:tab/>
        <w:t>148</w:t>
      </w:r>
      <w:r>
        <w:rPr>
          <w:rFonts w:hint="eastAsia"/>
        </w:rPr>
        <w:tab/>
      </w:r>
      <w:r>
        <w:t>23</w:t>
      </w:r>
    </w:p>
    <w:p w:rsidR="00000000" w:rsidRDefault="00000000">
      <w:pPr>
        <w:pStyle w:val="a3"/>
      </w:pPr>
      <w:r>
        <w:rPr>
          <w:rFonts w:hint="eastAsia"/>
        </w:rPr>
        <w:t>第</w:t>
      </w:r>
      <w:r>
        <w:rPr>
          <w:rFonts w:hint="eastAsia"/>
        </w:rPr>
        <w:t>8</w:t>
      </w:r>
      <w:r>
        <w:rPr>
          <w:rFonts w:hint="eastAsia"/>
        </w:rPr>
        <w:t>条</w:t>
      </w:r>
      <w:r>
        <w:t>………………………</w:t>
      </w:r>
      <w:r>
        <w:rPr>
          <w:rFonts w:hint="eastAsia"/>
        </w:rPr>
        <w:tab/>
      </w:r>
      <w:r>
        <w:rPr>
          <w:rFonts w:hint="eastAsia"/>
        </w:rPr>
        <w:tab/>
        <w:t>149</w:t>
      </w:r>
      <w:r>
        <w:rPr>
          <w:rFonts w:hint="eastAsia"/>
        </w:rPr>
        <w:tab/>
        <w:t>-</w:t>
      </w:r>
      <w:r>
        <w:rPr>
          <w:rFonts w:hint="eastAsia"/>
        </w:rPr>
        <w:tab/>
        <w:t>176</w:t>
      </w:r>
      <w:r>
        <w:rPr>
          <w:rFonts w:hint="eastAsia"/>
        </w:rPr>
        <w:tab/>
      </w:r>
      <w:r>
        <w:t>29</w:t>
      </w:r>
    </w:p>
    <w:p w:rsidR="00000000" w:rsidRDefault="00000000">
      <w:pPr>
        <w:pStyle w:val="a3"/>
      </w:pPr>
      <w:r>
        <w:rPr>
          <w:rFonts w:hint="eastAsia"/>
        </w:rPr>
        <w:t>第</w:t>
      </w:r>
      <w:r>
        <w:rPr>
          <w:rFonts w:hint="eastAsia"/>
        </w:rPr>
        <w:t>9</w:t>
      </w:r>
      <w:r>
        <w:rPr>
          <w:rFonts w:hint="eastAsia"/>
        </w:rPr>
        <w:t>条</w:t>
      </w:r>
      <w:r>
        <w:t>………………………</w:t>
      </w:r>
      <w:r>
        <w:rPr>
          <w:rFonts w:hint="eastAsia"/>
        </w:rPr>
        <w:tab/>
      </w:r>
      <w:r>
        <w:rPr>
          <w:rFonts w:hint="eastAsia"/>
        </w:rPr>
        <w:tab/>
        <w:t>177</w:t>
      </w:r>
      <w:r>
        <w:rPr>
          <w:rFonts w:hint="eastAsia"/>
        </w:rPr>
        <w:tab/>
        <w:t>-</w:t>
      </w:r>
      <w:r>
        <w:rPr>
          <w:rFonts w:hint="eastAsia"/>
        </w:rPr>
        <w:tab/>
        <w:t>229</w:t>
      </w:r>
      <w:r>
        <w:rPr>
          <w:rFonts w:hint="eastAsia"/>
        </w:rPr>
        <w:tab/>
      </w:r>
      <w:r>
        <w:t>32</w:t>
      </w:r>
    </w:p>
    <w:p w:rsidR="00000000" w:rsidRDefault="00000000">
      <w:pPr>
        <w:pStyle w:val="a3"/>
      </w:pPr>
      <w:r>
        <w:rPr>
          <w:rFonts w:hint="eastAsia"/>
        </w:rPr>
        <w:t>第</w:t>
      </w:r>
      <w:r>
        <w:rPr>
          <w:rFonts w:hint="eastAsia"/>
        </w:rPr>
        <w:t>10</w:t>
      </w:r>
      <w:r>
        <w:rPr>
          <w:rFonts w:hint="eastAsia"/>
        </w:rPr>
        <w:t>条</w:t>
      </w:r>
      <w:r>
        <w:t>………………………</w:t>
      </w:r>
      <w:r>
        <w:rPr>
          <w:rFonts w:hint="eastAsia"/>
        </w:rPr>
        <w:tab/>
      </w:r>
      <w:r>
        <w:rPr>
          <w:rFonts w:hint="eastAsia"/>
        </w:rPr>
        <w:tab/>
        <w:t>230</w:t>
      </w:r>
      <w:r>
        <w:rPr>
          <w:rFonts w:hint="eastAsia"/>
        </w:rPr>
        <w:tab/>
        <w:t>-</w:t>
      </w:r>
      <w:r>
        <w:rPr>
          <w:rFonts w:hint="eastAsia"/>
        </w:rPr>
        <w:tab/>
        <w:t>307</w:t>
      </w:r>
      <w:r>
        <w:rPr>
          <w:rFonts w:hint="eastAsia"/>
        </w:rPr>
        <w:tab/>
      </w:r>
      <w:r>
        <w:t>45</w:t>
      </w:r>
    </w:p>
    <w:p w:rsidR="00000000" w:rsidRDefault="00000000">
      <w:pPr>
        <w:pStyle w:val="a3"/>
      </w:pPr>
      <w:r>
        <w:rPr>
          <w:rFonts w:hint="eastAsia"/>
        </w:rPr>
        <w:t>第</w:t>
      </w:r>
      <w:r>
        <w:rPr>
          <w:rFonts w:hint="eastAsia"/>
        </w:rPr>
        <w:t>11</w:t>
      </w:r>
      <w:r>
        <w:rPr>
          <w:rFonts w:hint="eastAsia"/>
        </w:rPr>
        <w:t>条</w:t>
      </w:r>
      <w:r>
        <w:t>………………………</w:t>
      </w:r>
      <w:r>
        <w:rPr>
          <w:rFonts w:hint="eastAsia"/>
        </w:rPr>
        <w:tab/>
      </w:r>
      <w:r>
        <w:rPr>
          <w:rFonts w:hint="eastAsia"/>
        </w:rPr>
        <w:tab/>
        <w:t>308</w:t>
      </w:r>
      <w:r>
        <w:rPr>
          <w:rFonts w:hint="eastAsia"/>
        </w:rPr>
        <w:tab/>
        <w:t>-</w:t>
      </w:r>
      <w:r>
        <w:rPr>
          <w:rFonts w:hint="eastAsia"/>
        </w:rPr>
        <w:tab/>
        <w:t>352</w:t>
      </w:r>
      <w:r>
        <w:rPr>
          <w:rFonts w:hint="eastAsia"/>
        </w:rPr>
        <w:tab/>
      </w:r>
      <w:r>
        <w:t>55</w:t>
      </w:r>
    </w:p>
    <w:p w:rsidR="00000000" w:rsidRDefault="00000000">
      <w:pPr>
        <w:pStyle w:val="a3"/>
      </w:pPr>
      <w:r>
        <w:rPr>
          <w:rFonts w:hint="eastAsia"/>
        </w:rPr>
        <w:t>第</w:t>
      </w:r>
      <w:r>
        <w:rPr>
          <w:rFonts w:hint="eastAsia"/>
        </w:rPr>
        <w:t>12</w:t>
      </w:r>
      <w:r>
        <w:rPr>
          <w:rFonts w:hint="eastAsia"/>
        </w:rPr>
        <w:t>条</w:t>
      </w:r>
      <w:r>
        <w:t>………………………</w:t>
      </w:r>
      <w:r>
        <w:rPr>
          <w:rFonts w:hint="eastAsia"/>
        </w:rPr>
        <w:tab/>
      </w:r>
      <w:r>
        <w:rPr>
          <w:rFonts w:hint="eastAsia"/>
        </w:rPr>
        <w:tab/>
        <w:t>353</w:t>
      </w:r>
      <w:r>
        <w:rPr>
          <w:rFonts w:hint="eastAsia"/>
        </w:rPr>
        <w:tab/>
        <w:t>-</w:t>
      </w:r>
      <w:r>
        <w:rPr>
          <w:rFonts w:hint="eastAsia"/>
        </w:rPr>
        <w:tab/>
        <w:t>406</w:t>
      </w:r>
      <w:r>
        <w:rPr>
          <w:rFonts w:hint="eastAsia"/>
        </w:rPr>
        <w:tab/>
      </w:r>
      <w:r>
        <w:t>64</w:t>
      </w:r>
    </w:p>
    <w:p w:rsidR="00000000" w:rsidRDefault="00000000">
      <w:pPr>
        <w:pStyle w:val="a3"/>
      </w:pPr>
      <w:r>
        <w:rPr>
          <w:rFonts w:hint="eastAsia"/>
        </w:rPr>
        <w:t>第</w:t>
      </w:r>
      <w:r>
        <w:rPr>
          <w:rFonts w:hint="eastAsia"/>
        </w:rPr>
        <w:t>13</w:t>
      </w:r>
      <w:r>
        <w:rPr>
          <w:rFonts w:hint="eastAsia"/>
        </w:rPr>
        <w:t>条</w:t>
      </w:r>
      <w:r>
        <w:t>………………………</w:t>
      </w:r>
      <w:r>
        <w:rPr>
          <w:rFonts w:hint="eastAsia"/>
        </w:rPr>
        <w:tab/>
      </w:r>
      <w:r>
        <w:rPr>
          <w:rFonts w:hint="eastAsia"/>
        </w:rPr>
        <w:tab/>
        <w:t>407</w:t>
      </w:r>
      <w:r>
        <w:rPr>
          <w:rFonts w:hint="eastAsia"/>
        </w:rPr>
        <w:tab/>
        <w:t>-</w:t>
      </w:r>
      <w:r>
        <w:rPr>
          <w:rFonts w:hint="eastAsia"/>
        </w:rPr>
        <w:tab/>
        <w:t>419</w:t>
      </w:r>
      <w:r>
        <w:rPr>
          <w:rFonts w:hint="eastAsia"/>
        </w:rPr>
        <w:tab/>
      </w:r>
      <w:r>
        <w:t>79</w:t>
      </w:r>
    </w:p>
    <w:p w:rsidR="00000000" w:rsidRDefault="00000000">
      <w:pPr>
        <w:pStyle w:val="a3"/>
      </w:pPr>
      <w:r>
        <w:rPr>
          <w:rFonts w:hint="eastAsia"/>
        </w:rPr>
        <w:t>第</w:t>
      </w:r>
      <w:r>
        <w:rPr>
          <w:rFonts w:hint="eastAsia"/>
        </w:rPr>
        <w:t>15</w:t>
      </w:r>
      <w:r>
        <w:rPr>
          <w:rFonts w:hint="eastAsia"/>
        </w:rPr>
        <w:t>条</w:t>
      </w:r>
      <w:r>
        <w:t>………………………</w:t>
      </w:r>
      <w:r>
        <w:rPr>
          <w:rFonts w:hint="eastAsia"/>
        </w:rPr>
        <w:tab/>
      </w:r>
      <w:r>
        <w:rPr>
          <w:rFonts w:hint="eastAsia"/>
        </w:rPr>
        <w:tab/>
        <w:t>420</w:t>
      </w:r>
      <w:r>
        <w:rPr>
          <w:rFonts w:hint="eastAsia"/>
        </w:rPr>
        <w:tab/>
        <w:t>-</w:t>
      </w:r>
      <w:r>
        <w:rPr>
          <w:rFonts w:hint="eastAsia"/>
        </w:rPr>
        <w:tab/>
        <w:t>443</w:t>
      </w:r>
      <w:r>
        <w:rPr>
          <w:rFonts w:hint="eastAsia"/>
        </w:rPr>
        <w:tab/>
      </w:r>
      <w:r>
        <w:t>82</w:t>
      </w:r>
    </w:p>
    <w:p w:rsidR="00000000" w:rsidRDefault="00000000">
      <w:pPr>
        <w:rPr>
          <w:rFonts w:hint="eastAsia"/>
        </w:rPr>
      </w:pPr>
    </w:p>
    <w:p w:rsidR="00000000" w:rsidRDefault="00000000">
      <w:pPr>
        <w:spacing w:after="240"/>
        <w:rPr>
          <w:rFonts w:hint="eastAsia"/>
        </w:rPr>
      </w:pPr>
      <w:r>
        <w:rPr>
          <w:rFonts w:hint="eastAsia"/>
          <w:u w:val="single"/>
        </w:rPr>
        <w:t>附</w:t>
      </w:r>
      <w:r>
        <w:rPr>
          <w:rFonts w:hint="eastAsia"/>
          <w:u w:val="single"/>
        </w:rPr>
        <w:t xml:space="preserve"> </w:t>
      </w:r>
      <w:r>
        <w:rPr>
          <w:rFonts w:hint="eastAsia"/>
          <w:u w:val="single"/>
        </w:rPr>
        <w:t>件</w:t>
      </w:r>
      <w:r>
        <w:rPr>
          <w:rFonts w:hint="eastAsia"/>
        </w:rPr>
        <w:t>：</w:t>
      </w:r>
    </w:p>
    <w:p w:rsidR="00000000" w:rsidRDefault="00000000">
      <w:pPr>
        <w:pStyle w:val="a2"/>
      </w:pPr>
      <w:r>
        <w:rPr>
          <w:rFonts w:hint="eastAsia"/>
        </w:rPr>
        <w:t>第</w:t>
      </w:r>
      <w:r>
        <w:rPr>
          <w:rFonts w:hint="eastAsia"/>
        </w:rPr>
        <w:t>9</w:t>
      </w:r>
      <w:r>
        <w:rPr>
          <w:rFonts w:hint="eastAsia"/>
        </w:rPr>
        <w:t>条：克罗地亚养恤金保险制度</w:t>
      </w:r>
      <w:r>
        <w:t>…………………</w:t>
      </w:r>
      <w:r>
        <w:rPr>
          <w:rFonts w:hint="eastAsia"/>
        </w:rPr>
        <w:t>..</w:t>
      </w:r>
      <w:r>
        <w:rPr>
          <w:rFonts w:hint="eastAsia"/>
        </w:rPr>
        <w:tab/>
      </w:r>
      <w:r>
        <w:rPr>
          <w:rFonts w:hint="eastAsia"/>
        </w:rPr>
        <w:tab/>
      </w:r>
      <w:r>
        <w:t>87</w:t>
      </w:r>
    </w:p>
    <w:p w:rsidR="00000000" w:rsidRDefault="00000000">
      <w:pPr>
        <w:pStyle w:val="Heading2"/>
        <w:rPr>
          <w:rFonts w:hint="eastAsia"/>
        </w:rPr>
      </w:pPr>
      <w:r>
        <w:br w:type="page"/>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1.  </w:t>
      </w:r>
      <w:r>
        <w:rPr>
          <w:rFonts w:hint="eastAsia"/>
        </w:rPr>
        <w:t>依照《经济、社会、文化权利国际公约》第</w:t>
      </w:r>
      <w:r>
        <w:rPr>
          <w:rFonts w:hint="eastAsia"/>
        </w:rPr>
        <w:t>16</w:t>
      </w:r>
      <w:r>
        <w:rPr>
          <w:rFonts w:hint="eastAsia"/>
        </w:rPr>
        <w:t>条和第</w:t>
      </w:r>
      <w:r>
        <w:rPr>
          <w:rFonts w:hint="eastAsia"/>
        </w:rPr>
        <w:t>17</w:t>
      </w:r>
      <w:r>
        <w:rPr>
          <w:rFonts w:hint="eastAsia"/>
        </w:rPr>
        <w:t>条规定的义务，克罗地亚共和国提交其有关《公约》各条款执行情况的初次报告。</w:t>
      </w:r>
    </w:p>
    <w:p w:rsidR="00000000" w:rsidRDefault="00000000">
      <w:pPr>
        <w:rPr>
          <w:rFonts w:hint="eastAsia"/>
        </w:rPr>
      </w:pPr>
      <w:r>
        <w:rPr>
          <w:rFonts w:hint="eastAsia"/>
        </w:rPr>
        <w:tab/>
        <w:t xml:space="preserve">2.  </w:t>
      </w:r>
      <w:r>
        <w:rPr>
          <w:rFonts w:hint="eastAsia"/>
        </w:rPr>
        <w:t>所提交的报告是按照</w:t>
      </w:r>
      <w:r>
        <w:rPr>
          <w:rFonts w:hint="eastAsia"/>
        </w:rPr>
        <w:t>1990</w:t>
      </w:r>
      <w:r>
        <w:rPr>
          <w:rFonts w:hint="eastAsia"/>
        </w:rPr>
        <w:t>年经济、社会、文化权利委员会通过的有关根据《经济、社会、文化权利国际公约》第</w:t>
      </w:r>
      <w:r>
        <w:rPr>
          <w:rFonts w:hint="eastAsia"/>
        </w:rPr>
        <w:t>16</w:t>
      </w:r>
      <w:r>
        <w:rPr>
          <w:rFonts w:hint="eastAsia"/>
        </w:rPr>
        <w:t>条和第</w:t>
      </w:r>
      <w:r>
        <w:rPr>
          <w:rFonts w:hint="eastAsia"/>
        </w:rPr>
        <w:t>17</w:t>
      </w:r>
      <w:r>
        <w:rPr>
          <w:rFonts w:hint="eastAsia"/>
        </w:rPr>
        <w:t>条提交的报告格式和内容的订正一般准则编写的，该准则载于</w:t>
      </w:r>
      <w:r>
        <w:rPr>
          <w:rFonts w:hint="eastAsia"/>
        </w:rPr>
        <w:t>1991</w:t>
      </w:r>
      <w:r>
        <w:rPr>
          <w:rFonts w:hint="eastAsia"/>
        </w:rPr>
        <w:t>年</w:t>
      </w:r>
      <w:r>
        <w:rPr>
          <w:rFonts w:hint="eastAsia"/>
        </w:rPr>
        <w:t>6</w:t>
      </w:r>
      <w:r>
        <w:rPr>
          <w:rFonts w:hint="eastAsia"/>
        </w:rPr>
        <w:t>月</w:t>
      </w:r>
      <w:r>
        <w:rPr>
          <w:rFonts w:hint="eastAsia"/>
        </w:rPr>
        <w:t>17</w:t>
      </w:r>
      <w:r>
        <w:rPr>
          <w:rFonts w:hint="eastAsia"/>
        </w:rPr>
        <w:t>日的</w:t>
      </w:r>
      <w:r>
        <w:rPr>
          <w:rFonts w:hint="eastAsia"/>
        </w:rPr>
        <w:t>E/C.12/1991/1</w:t>
      </w:r>
      <w:r>
        <w:rPr>
          <w:rFonts w:hint="eastAsia"/>
        </w:rPr>
        <w:t>号文件。</w:t>
      </w:r>
    </w:p>
    <w:p w:rsidR="00000000" w:rsidRDefault="00000000">
      <w:pPr>
        <w:spacing w:after="320"/>
        <w:rPr>
          <w:rFonts w:hint="eastAsia"/>
        </w:rPr>
      </w:pPr>
      <w:r>
        <w:rPr>
          <w:rFonts w:hint="eastAsia"/>
        </w:rPr>
        <w:tab/>
        <w:t xml:space="preserve">3.  </w:t>
      </w:r>
      <w:r>
        <w:rPr>
          <w:rFonts w:hint="eastAsia"/>
        </w:rPr>
        <w:t>报告审查了《公约》规定的个别成员的义务的履行情况。关于克罗地亚共和国政治结构和法律制度的基本前提的更详细资料，请查阅克罗地亚共和国的核心文件</w:t>
      </w:r>
      <w:r>
        <w:rPr>
          <w:rFonts w:hint="eastAsia"/>
        </w:rPr>
        <w:t>(HRI/CORE/1/</w:t>
      </w:r>
      <w:r>
        <w:t>Add.32</w:t>
      </w:r>
      <w:r>
        <w:rPr>
          <w:rFonts w:hint="eastAsia"/>
        </w:rPr>
        <w:t>和</w:t>
      </w:r>
      <w:r>
        <w:t>Rev.1</w:t>
      </w:r>
      <w:r>
        <w:rPr>
          <w:rFonts w:hint="eastAsia"/>
        </w:rPr>
        <w:t>)</w:t>
      </w:r>
      <w:r>
        <w:rPr>
          <w:rFonts w:hint="eastAsia"/>
        </w:rPr>
        <w:t>。</w:t>
      </w:r>
    </w:p>
    <w:p w:rsidR="00000000" w:rsidRDefault="00000000">
      <w:pPr>
        <w:pStyle w:val="Heading3"/>
        <w:rPr>
          <w:rFonts w:hint="eastAsia"/>
        </w:rPr>
      </w:pPr>
      <w:r>
        <w:rPr>
          <w:rFonts w:hint="eastAsia"/>
        </w:rPr>
        <w:t>第</w:t>
      </w:r>
      <w:r>
        <w:rPr>
          <w:rFonts w:hint="eastAsia"/>
        </w:rPr>
        <w:t xml:space="preserve"> 1 </w:t>
      </w:r>
      <w:r>
        <w:rPr>
          <w:rFonts w:hint="eastAsia"/>
        </w:rPr>
        <w:t>条</w:t>
      </w:r>
    </w:p>
    <w:p w:rsidR="00000000" w:rsidRDefault="00000000">
      <w:pPr>
        <w:rPr>
          <w:rFonts w:hint="eastAsia"/>
        </w:rPr>
      </w:pPr>
      <w:r>
        <w:rPr>
          <w:rFonts w:hint="eastAsia"/>
        </w:rPr>
        <w:tab/>
        <w:t xml:space="preserve">4.  </w:t>
      </w:r>
      <w:r>
        <w:rPr>
          <w:rFonts w:hint="eastAsia"/>
        </w:rPr>
        <w:t>克罗地亚共和国在</w:t>
      </w:r>
      <w:r>
        <w:rPr>
          <w:rFonts w:hint="eastAsia"/>
        </w:rPr>
        <w:t>1990</w:t>
      </w:r>
      <w:r>
        <w:rPr>
          <w:rFonts w:hint="eastAsia"/>
        </w:rPr>
        <w:t>年</w:t>
      </w:r>
      <w:r>
        <w:rPr>
          <w:rFonts w:hint="eastAsia"/>
        </w:rPr>
        <w:t>4</w:t>
      </w:r>
      <w:r>
        <w:rPr>
          <w:rFonts w:hint="eastAsia"/>
        </w:rPr>
        <w:t>月</w:t>
      </w:r>
      <w:r>
        <w:rPr>
          <w:rFonts w:hint="eastAsia"/>
        </w:rPr>
        <w:t>22</w:t>
      </w:r>
      <w:r>
        <w:rPr>
          <w:rFonts w:hint="eastAsia"/>
        </w:rPr>
        <w:t>日举行第一次多党选举之后，其政治制度开始了朝议会民主和市场经济转变的进程。同时，克罗地亚与当时构成南斯拉夫社会主义联邦共和国的一些其他共和国一起争取在当时的联邦内建立平等的关系。</w:t>
      </w:r>
    </w:p>
    <w:p w:rsidR="00000000" w:rsidRDefault="00000000">
      <w:pPr>
        <w:rPr>
          <w:rFonts w:hint="eastAsia"/>
        </w:rPr>
      </w:pPr>
      <w:r>
        <w:rPr>
          <w:rFonts w:hint="eastAsia"/>
        </w:rPr>
        <w:tab/>
        <w:t xml:space="preserve">5.  </w:t>
      </w:r>
      <w:r>
        <w:rPr>
          <w:rFonts w:hint="eastAsia"/>
        </w:rPr>
        <w:t>在原南斯拉夫各共和国总统关于未来联邦组织的谈判失败之后，于</w:t>
      </w:r>
      <w:r>
        <w:rPr>
          <w:rFonts w:hint="eastAsia"/>
        </w:rPr>
        <w:t>1991</w:t>
      </w:r>
      <w:r>
        <w:rPr>
          <w:rFonts w:hint="eastAsia"/>
        </w:rPr>
        <w:t>年</w:t>
      </w:r>
      <w:r>
        <w:rPr>
          <w:rFonts w:hint="eastAsia"/>
        </w:rPr>
        <w:t>4</w:t>
      </w:r>
      <w:r>
        <w:rPr>
          <w:rFonts w:hint="eastAsia"/>
        </w:rPr>
        <w:t>月</w:t>
      </w:r>
      <w:r>
        <w:rPr>
          <w:rFonts w:hint="eastAsia"/>
        </w:rPr>
        <w:t>19</w:t>
      </w:r>
      <w:r>
        <w:rPr>
          <w:rFonts w:hint="eastAsia"/>
        </w:rPr>
        <w:t>日在</w:t>
      </w:r>
      <w:r>
        <w:rPr>
          <w:rFonts w:hint="eastAsia"/>
        </w:rPr>
        <w:t>O</w:t>
      </w:r>
      <w:r>
        <w:t>hrid</w:t>
      </w:r>
      <w:r>
        <w:rPr>
          <w:rFonts w:hint="eastAsia"/>
        </w:rPr>
        <w:t>举行的一次会议上，大家决定每个共和国应就是否留在联邦内举行公民投票。克罗地亚共和国于</w:t>
      </w:r>
      <w:r>
        <w:rPr>
          <w:rFonts w:hint="eastAsia"/>
        </w:rPr>
        <w:t>1991</w:t>
      </w:r>
      <w:r>
        <w:rPr>
          <w:rFonts w:hint="eastAsia"/>
        </w:rPr>
        <w:t>年</w:t>
      </w:r>
      <w:r>
        <w:rPr>
          <w:rFonts w:hint="eastAsia"/>
        </w:rPr>
        <w:t>5</w:t>
      </w:r>
      <w:r>
        <w:rPr>
          <w:rFonts w:hint="eastAsia"/>
        </w:rPr>
        <w:t>月举行公民投票，</w:t>
      </w:r>
      <w:r>
        <w:rPr>
          <w:rFonts w:hint="eastAsia"/>
        </w:rPr>
        <w:t>94%</w:t>
      </w:r>
      <w:r>
        <w:rPr>
          <w:rFonts w:hint="eastAsia"/>
        </w:rPr>
        <w:t>的投票者选择了独立自主的克罗地亚共和国。因此，克罗地亚共和国国家议会行使了</w:t>
      </w:r>
      <w:r>
        <w:rPr>
          <w:rFonts w:hint="eastAsia"/>
        </w:rPr>
        <w:t>1974</w:t>
      </w:r>
      <w:r>
        <w:rPr>
          <w:rFonts w:hint="eastAsia"/>
        </w:rPr>
        <w:t>年南斯拉夫社会主义联邦共和国宪法所载的自决权利，于</w:t>
      </w:r>
      <w:r>
        <w:rPr>
          <w:rFonts w:hint="eastAsia"/>
        </w:rPr>
        <w:t>1991</w:t>
      </w:r>
      <w:r>
        <w:rPr>
          <w:rFonts w:hint="eastAsia"/>
        </w:rPr>
        <w:t>年</w:t>
      </w:r>
      <w:r>
        <w:rPr>
          <w:rFonts w:hint="eastAsia"/>
        </w:rPr>
        <w:t>6</w:t>
      </w:r>
      <w:r>
        <w:rPr>
          <w:rFonts w:hint="eastAsia"/>
        </w:rPr>
        <w:t>月</w:t>
      </w:r>
      <w:r>
        <w:rPr>
          <w:rFonts w:hint="eastAsia"/>
        </w:rPr>
        <w:t>25</w:t>
      </w:r>
      <w:r>
        <w:rPr>
          <w:rFonts w:hint="eastAsia"/>
        </w:rPr>
        <w:t>日宣布克罗地亚共和国是独立的主权国家</w:t>
      </w:r>
      <w:r>
        <w:rPr>
          <w:rFonts w:hint="eastAsia"/>
        </w:rPr>
        <w:t>(</w:t>
      </w:r>
      <w:r>
        <w:rPr>
          <w:rFonts w:hint="eastAsia"/>
        </w:rPr>
        <w:t>政府公报，</w:t>
      </w:r>
      <w:r>
        <w:rPr>
          <w:rFonts w:hint="eastAsia"/>
        </w:rPr>
        <w:t>31/91)</w:t>
      </w:r>
      <w:r>
        <w:rPr>
          <w:rFonts w:hint="eastAsia"/>
        </w:rPr>
        <w:t>，在该宣布中克罗地亚共和国终结了与南斯拉夫社会主义联邦共和国的一切法律和宪法联系。</w:t>
      </w:r>
    </w:p>
    <w:p w:rsidR="00000000" w:rsidRDefault="00000000">
      <w:pPr>
        <w:rPr>
          <w:rFonts w:hint="eastAsia"/>
        </w:rPr>
      </w:pPr>
      <w:r>
        <w:rPr>
          <w:rFonts w:hint="eastAsia"/>
        </w:rPr>
        <w:tab/>
        <w:t xml:space="preserve">6.  </w:t>
      </w:r>
      <w:r>
        <w:rPr>
          <w:rFonts w:hint="eastAsia"/>
        </w:rPr>
        <w:t>由于克罗地亚受到侵略和前南斯拉夫境内的武装冲突扩大，欧洲共同体安排了和平谈判，希望维持欧洲这一地区的和平。在</w:t>
      </w:r>
      <w:r>
        <w:rPr>
          <w:rFonts w:hint="eastAsia"/>
        </w:rPr>
        <w:t>1991</w:t>
      </w:r>
      <w:r>
        <w:rPr>
          <w:rFonts w:hint="eastAsia"/>
        </w:rPr>
        <w:t>年</w:t>
      </w:r>
      <w:r>
        <w:rPr>
          <w:rFonts w:hint="eastAsia"/>
        </w:rPr>
        <w:t>8</w:t>
      </w:r>
      <w:r>
        <w:rPr>
          <w:rFonts w:hint="eastAsia"/>
        </w:rPr>
        <w:t>月</w:t>
      </w:r>
      <w:r>
        <w:rPr>
          <w:rFonts w:hint="eastAsia"/>
        </w:rPr>
        <w:t>27</w:t>
      </w:r>
      <w:r>
        <w:rPr>
          <w:rFonts w:hint="eastAsia"/>
        </w:rPr>
        <w:t>日于布鲁塞尔举行的会议上，各当事方同意暂停执行独立决定，为期三个月，并同意在联合国和欧洲共同体的主持下举行前南斯拉夫问题国际会议。</w:t>
      </w:r>
    </w:p>
    <w:p w:rsidR="00000000" w:rsidRDefault="00000000">
      <w:pPr>
        <w:rPr>
          <w:rFonts w:hint="eastAsia"/>
        </w:rPr>
      </w:pPr>
      <w:r>
        <w:rPr>
          <w:rFonts w:hint="eastAsia"/>
        </w:rPr>
        <w:tab/>
        <w:t xml:space="preserve">7.  </w:t>
      </w:r>
      <w:r>
        <w:rPr>
          <w:rFonts w:hint="eastAsia"/>
        </w:rPr>
        <w:t>这些谈判都没有成功，因此在三个月期限过后，关于克罗地亚共和国是独立主权国家的宪法决议于</w:t>
      </w:r>
      <w:r>
        <w:rPr>
          <w:rFonts w:hint="eastAsia"/>
        </w:rPr>
        <w:t>1991</w:t>
      </w:r>
      <w:r>
        <w:rPr>
          <w:rFonts w:hint="eastAsia"/>
        </w:rPr>
        <w:t>年</w:t>
      </w:r>
      <w:r>
        <w:rPr>
          <w:rFonts w:hint="eastAsia"/>
        </w:rPr>
        <w:t>10</w:t>
      </w:r>
      <w:r>
        <w:rPr>
          <w:rFonts w:hint="eastAsia"/>
        </w:rPr>
        <w:t>月</w:t>
      </w:r>
      <w:r>
        <w:rPr>
          <w:rFonts w:hint="eastAsia"/>
        </w:rPr>
        <w:t>8</w:t>
      </w:r>
      <w:r>
        <w:rPr>
          <w:rFonts w:hint="eastAsia"/>
        </w:rPr>
        <w:t>日开始生效，从此以后克罗地亚共和国是一个独立国家。</w:t>
      </w:r>
    </w:p>
    <w:p w:rsidR="00000000" w:rsidRDefault="00000000">
      <w:pPr>
        <w:rPr>
          <w:rFonts w:hint="eastAsia"/>
        </w:rPr>
      </w:pPr>
      <w:r>
        <w:rPr>
          <w:rFonts w:hint="eastAsia"/>
        </w:rPr>
        <w:tab/>
        <w:t xml:space="preserve">8.  </w:t>
      </w:r>
      <w:r>
        <w:rPr>
          <w:rFonts w:hint="eastAsia"/>
        </w:rPr>
        <w:t>落实克罗地亚共和国在经济领域的自决权利受到克罗地亚共和国宪法的保障，宪法规定克罗地亚国家议会和国家直接、独立地就下列事项作出决定：</w:t>
      </w:r>
    </w:p>
    <w:p w:rsidR="00000000" w:rsidRDefault="00000000">
      <w:pPr>
        <w:numPr>
          <w:ilvl w:val="0"/>
          <w:numId w:val="26"/>
        </w:numPr>
        <w:tabs>
          <w:tab w:val="clear" w:pos="1531"/>
        </w:tabs>
        <w:rPr>
          <w:rFonts w:hint="eastAsia"/>
        </w:rPr>
      </w:pPr>
      <w:r>
        <w:rPr>
          <w:rFonts w:hint="eastAsia"/>
        </w:rPr>
        <w:t>管制克罗地亚共和国内的经济、法律和政治关系的方式；</w:t>
      </w:r>
    </w:p>
    <w:p w:rsidR="00000000" w:rsidRDefault="00000000">
      <w:pPr>
        <w:numPr>
          <w:ilvl w:val="0"/>
          <w:numId w:val="26"/>
        </w:numPr>
        <w:tabs>
          <w:tab w:val="clear" w:pos="1531"/>
        </w:tabs>
        <w:rPr>
          <w:rFonts w:hint="eastAsia"/>
        </w:rPr>
      </w:pPr>
      <w:r>
        <w:rPr>
          <w:rFonts w:hint="eastAsia"/>
        </w:rPr>
        <w:t>保护天然和文化财富以及使用这一财富</w:t>
      </w:r>
      <w:r>
        <w:rPr>
          <w:rFonts w:hint="eastAsia"/>
        </w:rPr>
        <w:t>(</w:t>
      </w:r>
      <w:r>
        <w:rPr>
          <w:rFonts w:hint="eastAsia"/>
        </w:rPr>
        <w:t>宪法第</w:t>
      </w:r>
      <w:r>
        <w:rPr>
          <w:rFonts w:hint="eastAsia"/>
        </w:rPr>
        <w:t>2</w:t>
      </w:r>
      <w:r>
        <w:rPr>
          <w:rFonts w:hint="eastAsia"/>
        </w:rPr>
        <w:t>条第</w:t>
      </w:r>
      <w:r>
        <w:rPr>
          <w:rFonts w:hint="eastAsia"/>
        </w:rPr>
        <w:t>4</w:t>
      </w:r>
      <w:r>
        <w:rPr>
          <w:rFonts w:hint="eastAsia"/>
        </w:rPr>
        <w:t>款</w:t>
      </w:r>
      <w:r>
        <w:rPr>
          <w:rFonts w:hint="eastAsia"/>
        </w:rPr>
        <w:t>)</w:t>
      </w:r>
      <w:r>
        <w:rPr>
          <w:rFonts w:hint="eastAsia"/>
        </w:rPr>
        <w:t>。</w:t>
      </w:r>
    </w:p>
    <w:p w:rsidR="00000000" w:rsidRDefault="00000000">
      <w:pPr>
        <w:rPr>
          <w:rFonts w:hint="eastAsia"/>
        </w:rPr>
      </w:pPr>
      <w:r>
        <w:rPr>
          <w:rFonts w:hint="eastAsia"/>
        </w:rPr>
        <w:tab/>
      </w:r>
      <w:r>
        <w:rPr>
          <w:rFonts w:hint="eastAsia"/>
        </w:rPr>
        <w:t>受宪法保障的这一权利在《租让法》</w:t>
      </w:r>
      <w:r>
        <w:rPr>
          <w:rFonts w:hint="eastAsia"/>
        </w:rPr>
        <w:t>(</w:t>
      </w:r>
      <w:r>
        <w:rPr>
          <w:rFonts w:hint="eastAsia"/>
        </w:rPr>
        <w:t>政府公约，</w:t>
      </w:r>
      <w:r>
        <w:rPr>
          <w:rFonts w:hint="eastAsia"/>
        </w:rPr>
        <w:t>89/92)</w:t>
      </w:r>
      <w:r>
        <w:rPr>
          <w:rFonts w:hint="eastAsia"/>
        </w:rPr>
        <w:t>和《采矿法》</w:t>
      </w:r>
      <w:r>
        <w:rPr>
          <w:rFonts w:hint="eastAsia"/>
        </w:rPr>
        <w:t>(</w:t>
      </w:r>
      <w:r>
        <w:rPr>
          <w:rFonts w:hint="eastAsia"/>
        </w:rPr>
        <w:t>政府公约，</w:t>
      </w:r>
      <w:r>
        <w:rPr>
          <w:rFonts w:hint="eastAsia"/>
        </w:rPr>
        <w:t>35/95)</w:t>
      </w:r>
      <w:r>
        <w:rPr>
          <w:rFonts w:hint="eastAsia"/>
        </w:rPr>
        <w:t>中有更详细的规定。《租让法》详细地规定了授予勘探和开采矿物原料特许权的办法，同时通过时间上的限制、互利原则和适当保证租让的经济目的将按照克罗地亚共和国的利益得到实现的规定限制特许权的转让</w:t>
      </w:r>
      <w:r>
        <w:rPr>
          <w:rFonts w:hint="eastAsia"/>
        </w:rPr>
        <w:t>(</w:t>
      </w:r>
      <w:r>
        <w:rPr>
          <w:rFonts w:hint="eastAsia"/>
        </w:rPr>
        <w:t>《租让法》第</w:t>
      </w:r>
      <w:r>
        <w:rPr>
          <w:rFonts w:hint="eastAsia"/>
        </w:rPr>
        <w:t>1</w:t>
      </w:r>
      <w:r>
        <w:rPr>
          <w:rFonts w:hint="eastAsia"/>
        </w:rPr>
        <w:t>条第</w:t>
      </w:r>
      <w:r>
        <w:rPr>
          <w:rFonts w:hint="eastAsia"/>
        </w:rPr>
        <w:t>1</w:t>
      </w:r>
      <w:r>
        <w:rPr>
          <w:rFonts w:hint="eastAsia"/>
        </w:rPr>
        <w:t>款</w:t>
      </w:r>
      <w:r>
        <w:rPr>
          <w:rFonts w:hint="eastAsia"/>
        </w:rPr>
        <w:t>)</w:t>
      </w:r>
      <w:r>
        <w:rPr>
          <w:rFonts w:hint="eastAsia"/>
        </w:rPr>
        <w:t>。这一公共利益是克罗地亚共和国国家议会订下的。克罗地亚共和国的这些条例，除其他外保证了人民自由处置其自然资源的权利，同样地也禁止人民终身被剥夺使用其资源的权利，这是符合大会</w:t>
      </w:r>
      <w:r>
        <w:rPr>
          <w:rFonts w:hint="eastAsia"/>
        </w:rPr>
        <w:t>1962</w:t>
      </w:r>
      <w:r>
        <w:rPr>
          <w:rFonts w:hint="eastAsia"/>
        </w:rPr>
        <w:t>年关于“天然资源永久主权”的第</w:t>
      </w:r>
      <w:r>
        <w:rPr>
          <w:rFonts w:hint="eastAsia"/>
        </w:rPr>
        <w:t>1803(XVII)</w:t>
      </w:r>
      <w:r>
        <w:rPr>
          <w:rFonts w:hint="eastAsia"/>
        </w:rPr>
        <w:t>号决议的。</w:t>
      </w:r>
    </w:p>
    <w:p w:rsidR="00000000" w:rsidRDefault="00000000">
      <w:pPr>
        <w:rPr>
          <w:rFonts w:hint="eastAsia"/>
        </w:rPr>
      </w:pPr>
      <w:r>
        <w:rPr>
          <w:rFonts w:hint="eastAsia"/>
        </w:rPr>
        <w:tab/>
        <w:t xml:space="preserve">9.  </w:t>
      </w:r>
      <w:r>
        <w:rPr>
          <w:rFonts w:hint="eastAsia"/>
        </w:rPr>
        <w:t>由于克罗地亚共和国在</w:t>
      </w:r>
      <w:r>
        <w:rPr>
          <w:rFonts w:hint="eastAsia"/>
        </w:rPr>
        <w:t>1991</w:t>
      </w:r>
      <w:r>
        <w:rPr>
          <w:rFonts w:hint="eastAsia"/>
        </w:rPr>
        <w:t>至</w:t>
      </w:r>
      <w:r>
        <w:rPr>
          <w:rFonts w:hint="eastAsia"/>
        </w:rPr>
        <w:t>1995</w:t>
      </w:r>
      <w:r>
        <w:rPr>
          <w:rFonts w:hint="eastAsia"/>
        </w:rPr>
        <w:t>年期间受到侵略，几乎四分之一的领土被占领，共和国无法自由使用暂时被占领领土上的自然资源。例如，克罗地亚电力公司无法利用下列水力发电站总发电量</w:t>
      </w:r>
      <w:r>
        <w:rPr>
          <w:rFonts w:hint="eastAsia"/>
        </w:rPr>
        <w:t>2,075</w:t>
      </w:r>
      <w:r>
        <w:rPr>
          <w:rFonts w:hint="eastAsia"/>
        </w:rPr>
        <w:t>兆瓦中的</w:t>
      </w:r>
      <w:r>
        <w:rPr>
          <w:rFonts w:hint="eastAsia"/>
        </w:rPr>
        <w:t>561.5</w:t>
      </w:r>
      <w:r>
        <w:rPr>
          <w:rFonts w:hint="eastAsia"/>
        </w:rPr>
        <w:t>兆瓦：</w:t>
      </w:r>
      <w:r>
        <w:rPr>
          <w:rFonts w:hint="eastAsia"/>
        </w:rPr>
        <w:t>M</w:t>
      </w:r>
      <w:r>
        <w:t>anojlovac</w:t>
      </w:r>
      <w:r>
        <w:rPr>
          <w:rFonts w:hint="eastAsia"/>
        </w:rPr>
        <w:t xml:space="preserve"> </w:t>
      </w:r>
      <w:r>
        <w:t>(</w:t>
      </w:r>
      <w:r>
        <w:rPr>
          <w:rFonts w:hint="eastAsia"/>
        </w:rPr>
        <w:t>21</w:t>
      </w:r>
      <w:r>
        <w:rPr>
          <w:rFonts w:hint="eastAsia"/>
        </w:rPr>
        <w:t>兆瓦</w:t>
      </w:r>
      <w:r>
        <w:rPr>
          <w:rFonts w:hint="eastAsia"/>
        </w:rPr>
        <w:t>)</w:t>
      </w:r>
      <w:r>
        <w:rPr>
          <w:rFonts w:hint="eastAsia"/>
        </w:rPr>
        <w:t>、</w:t>
      </w:r>
      <w:r>
        <w:rPr>
          <w:rFonts w:hint="eastAsia"/>
        </w:rPr>
        <w:t>P</w:t>
      </w:r>
      <w:r>
        <w:t>eruča</w:t>
      </w:r>
      <w:r>
        <w:rPr>
          <w:rFonts w:hint="eastAsia"/>
        </w:rPr>
        <w:t xml:space="preserve"> </w:t>
      </w:r>
      <w:r>
        <w:t>(42</w:t>
      </w:r>
      <w:r>
        <w:rPr>
          <w:rFonts w:hint="eastAsia"/>
        </w:rPr>
        <w:t>兆瓦</w:t>
      </w:r>
      <w:r>
        <w:t>)</w:t>
      </w:r>
      <w:r>
        <w:rPr>
          <w:rFonts w:hint="eastAsia"/>
        </w:rPr>
        <w:t>、</w:t>
      </w:r>
      <w:r>
        <w:t>Dubrovnik</w:t>
      </w:r>
      <w:r>
        <w:rPr>
          <w:rFonts w:hint="eastAsia"/>
        </w:rPr>
        <w:t xml:space="preserve"> </w:t>
      </w:r>
      <w:r>
        <w:t>(216</w:t>
      </w:r>
      <w:r>
        <w:rPr>
          <w:rFonts w:hint="eastAsia"/>
        </w:rPr>
        <w:t>兆瓦</w:t>
      </w:r>
      <w:r>
        <w:t>)</w:t>
      </w:r>
      <w:r>
        <w:rPr>
          <w:rFonts w:hint="eastAsia"/>
        </w:rPr>
        <w:t>、</w:t>
      </w:r>
      <w:r>
        <w:t>Glob</w:t>
      </w:r>
      <w:r>
        <w:rPr>
          <w:rFonts w:hint="eastAsia"/>
        </w:rPr>
        <w:t xml:space="preserve"> </w:t>
      </w:r>
      <w:r>
        <w:t>(6.5</w:t>
      </w:r>
      <w:r>
        <w:rPr>
          <w:rFonts w:hint="eastAsia"/>
        </w:rPr>
        <w:t>兆瓦</w:t>
      </w:r>
      <w:r>
        <w:t>)</w:t>
      </w:r>
      <w:r>
        <w:rPr>
          <w:rFonts w:hint="eastAsia"/>
        </w:rPr>
        <w:t>和</w:t>
      </w:r>
      <w:r>
        <w:t>Obrovac</w:t>
      </w:r>
      <w:r>
        <w:rPr>
          <w:rFonts w:hint="eastAsia"/>
        </w:rPr>
        <w:t xml:space="preserve"> </w:t>
      </w:r>
      <w:r>
        <w:t>(</w:t>
      </w:r>
      <w:r>
        <w:rPr>
          <w:rFonts w:hint="eastAsia"/>
        </w:rPr>
        <w:t>276</w:t>
      </w:r>
      <w:r>
        <w:rPr>
          <w:rFonts w:hint="eastAsia"/>
        </w:rPr>
        <w:t>兆瓦</w:t>
      </w:r>
      <w:r>
        <w:rPr>
          <w:rFonts w:hint="eastAsia"/>
        </w:rPr>
        <w:t>)</w:t>
      </w:r>
      <w:r>
        <w:rPr>
          <w:rFonts w:hint="eastAsia"/>
        </w:rPr>
        <w:t>，这些发电站不是被占领，就是受到严重破坏。同样地，在</w:t>
      </w:r>
      <w:r>
        <w:rPr>
          <w:rFonts w:hint="eastAsia"/>
        </w:rPr>
        <w:t>1992</w:t>
      </w:r>
      <w:r>
        <w:rPr>
          <w:rFonts w:hint="eastAsia"/>
        </w:rPr>
        <w:t>年到</w:t>
      </w:r>
      <w:r>
        <w:rPr>
          <w:rFonts w:hint="eastAsia"/>
        </w:rPr>
        <w:t>1996</w:t>
      </w:r>
      <w:r>
        <w:rPr>
          <w:rFonts w:hint="eastAsia"/>
        </w:rPr>
        <w:t>年期间，克罗地亚共和国无法自由使用东斯拉沃尼亚的</w:t>
      </w:r>
      <w:r>
        <w:rPr>
          <w:rFonts w:hint="eastAsia"/>
        </w:rPr>
        <w:t>D</w:t>
      </w:r>
      <w:r>
        <w:t>elatovci</w:t>
      </w:r>
      <w:r>
        <w:rPr>
          <w:rFonts w:hint="eastAsia"/>
        </w:rPr>
        <w:t>、</w:t>
      </w:r>
      <w:r>
        <w:t>Privlaka</w:t>
      </w:r>
      <w:r>
        <w:rPr>
          <w:rFonts w:hint="eastAsia"/>
        </w:rPr>
        <w:t>和</w:t>
      </w:r>
      <w:r>
        <w:t>Ilača</w:t>
      </w:r>
      <w:r>
        <w:rPr>
          <w:rFonts w:hint="eastAsia"/>
        </w:rPr>
        <w:t>等油井生产的</w:t>
      </w:r>
      <w:r>
        <w:rPr>
          <w:rFonts w:hint="eastAsia"/>
        </w:rPr>
        <w:t>600,000</w:t>
      </w:r>
      <w:r>
        <w:rPr>
          <w:rFonts w:hint="eastAsia"/>
        </w:rPr>
        <w:t>吨原油。</w:t>
      </w:r>
    </w:p>
    <w:p w:rsidR="00000000" w:rsidRDefault="00000000">
      <w:pPr>
        <w:spacing w:after="320"/>
        <w:rPr>
          <w:rFonts w:hint="eastAsia"/>
        </w:rPr>
      </w:pPr>
      <w:r>
        <w:rPr>
          <w:rFonts w:hint="eastAsia"/>
        </w:rPr>
        <w:tab/>
        <w:t xml:space="preserve">10.  </w:t>
      </w:r>
      <w:r>
        <w:rPr>
          <w:rFonts w:hint="eastAsia"/>
        </w:rPr>
        <w:t>克罗地亚下列立法载有在国内实现自决权利的规定：举行选举的义务</w:t>
      </w:r>
      <w:r>
        <w:rPr>
          <w:rFonts w:hint="eastAsia"/>
        </w:rPr>
        <w:t>(</w:t>
      </w:r>
      <w:r>
        <w:rPr>
          <w:rFonts w:hint="eastAsia"/>
        </w:rPr>
        <w:t>宪法第</w:t>
      </w:r>
      <w:r>
        <w:rPr>
          <w:rFonts w:hint="eastAsia"/>
        </w:rPr>
        <w:t>1</w:t>
      </w:r>
      <w:r>
        <w:rPr>
          <w:rFonts w:hint="eastAsia"/>
        </w:rPr>
        <w:t>条第</w:t>
      </w:r>
      <w:r>
        <w:rPr>
          <w:rFonts w:hint="eastAsia"/>
        </w:rPr>
        <w:t>2</w:t>
      </w:r>
      <w:r>
        <w:rPr>
          <w:rFonts w:hint="eastAsia"/>
        </w:rPr>
        <w:t>款</w:t>
      </w:r>
      <w:r>
        <w:rPr>
          <w:rFonts w:hint="eastAsia"/>
        </w:rPr>
        <w:t>)</w:t>
      </w:r>
      <w:r>
        <w:rPr>
          <w:rFonts w:hint="eastAsia"/>
        </w:rPr>
        <w:t>以及个人有积极和消极的公民权</w:t>
      </w:r>
      <w:r>
        <w:rPr>
          <w:rFonts w:hint="eastAsia"/>
        </w:rPr>
        <w:t>(</w:t>
      </w:r>
      <w:r>
        <w:rPr>
          <w:rFonts w:hint="eastAsia"/>
        </w:rPr>
        <w:t>宪法第</w:t>
      </w:r>
      <w:r>
        <w:rPr>
          <w:rFonts w:hint="eastAsia"/>
        </w:rPr>
        <w:t>45</w:t>
      </w:r>
      <w:r>
        <w:rPr>
          <w:rFonts w:hint="eastAsia"/>
        </w:rPr>
        <w:t>条</w:t>
      </w:r>
      <w:r>
        <w:rPr>
          <w:rFonts w:hint="eastAsia"/>
        </w:rPr>
        <w:t>)</w:t>
      </w:r>
      <w:r>
        <w:rPr>
          <w:rFonts w:hint="eastAsia"/>
        </w:rPr>
        <w:t>少数群体</w:t>
      </w:r>
      <w:r>
        <w:rPr>
          <w:rFonts w:hint="eastAsia"/>
        </w:rPr>
        <w:t>(</w:t>
      </w:r>
      <w:r>
        <w:rPr>
          <w:rFonts w:hint="eastAsia"/>
        </w:rPr>
        <w:t>克罗地亚的正式用语是“种族和民族少数群体和社区</w:t>
      </w:r>
      <w:r>
        <w:rPr>
          <w:rFonts w:hint="eastAsia"/>
        </w:rPr>
        <w:t>)</w:t>
      </w:r>
      <w:r>
        <w:rPr>
          <w:rFonts w:hint="eastAsia"/>
        </w:rPr>
        <w:t>成员有表明其种族认同的宪法权利、使用自己的语言和文字的权利以及文化自主权利</w:t>
      </w:r>
      <w:r>
        <w:rPr>
          <w:rFonts w:hint="eastAsia"/>
        </w:rPr>
        <w:t>(</w:t>
      </w:r>
      <w:r>
        <w:rPr>
          <w:rFonts w:hint="eastAsia"/>
        </w:rPr>
        <w:t>宪法第</w:t>
      </w:r>
      <w:r>
        <w:rPr>
          <w:rFonts w:hint="eastAsia"/>
        </w:rPr>
        <w:t>15</w:t>
      </w:r>
      <w:r>
        <w:rPr>
          <w:rFonts w:hint="eastAsia"/>
        </w:rPr>
        <w:t>条</w:t>
      </w:r>
      <w:r>
        <w:rPr>
          <w:rFonts w:hint="eastAsia"/>
        </w:rPr>
        <w:t>)</w:t>
      </w:r>
      <w:r>
        <w:rPr>
          <w:rFonts w:hint="eastAsia"/>
        </w:rPr>
        <w:t>，同时宪法关于人权以及种族和民族少数群体权利的规定保障了相当多的具体少数群体权利，例如受少数群体语言教育的权利、公共和私人使用少数群体语言和文字的问题、媒体管道、少数群体成员参与公众生活、少数群体代表在克罗地亚共和国国家议会中的特别代表权等等</w:t>
      </w:r>
      <w:r>
        <w:rPr>
          <w:rFonts w:hint="eastAsia"/>
        </w:rPr>
        <w:t>(</w:t>
      </w:r>
      <w:r>
        <w:rPr>
          <w:rFonts w:hint="eastAsia"/>
        </w:rPr>
        <w:t>宪法第</w:t>
      </w:r>
      <w:r>
        <w:rPr>
          <w:rFonts w:hint="eastAsia"/>
        </w:rPr>
        <w:t>1</w:t>
      </w:r>
      <w:r>
        <w:rPr>
          <w:rFonts w:hint="eastAsia"/>
        </w:rPr>
        <w:t>条至第</w:t>
      </w:r>
      <w:r>
        <w:rPr>
          <w:rFonts w:hint="eastAsia"/>
        </w:rPr>
        <w:t>21</w:t>
      </w:r>
      <w:r>
        <w:rPr>
          <w:rFonts w:hint="eastAsia"/>
        </w:rPr>
        <w:t>条</w:t>
      </w:r>
      <w:r>
        <w:rPr>
          <w:rFonts w:hint="eastAsia"/>
        </w:rPr>
        <w:t>)</w:t>
      </w:r>
      <w:r>
        <w:rPr>
          <w:rFonts w:hint="eastAsia"/>
        </w:rPr>
        <w:t>。</w:t>
      </w:r>
    </w:p>
    <w:p w:rsidR="00000000" w:rsidRDefault="00000000">
      <w:pPr>
        <w:pStyle w:val="Heading3"/>
        <w:rPr>
          <w:rFonts w:hint="eastAsia"/>
        </w:rPr>
      </w:pPr>
      <w:r>
        <w:rPr>
          <w:rFonts w:hint="eastAsia"/>
        </w:rPr>
        <w:t>第</w:t>
      </w:r>
      <w:r>
        <w:rPr>
          <w:rFonts w:hint="eastAsia"/>
        </w:rPr>
        <w:t xml:space="preserve"> 2 </w:t>
      </w:r>
      <w:r>
        <w:rPr>
          <w:rFonts w:hint="eastAsia"/>
        </w:rPr>
        <w:t>条</w:t>
      </w:r>
    </w:p>
    <w:p w:rsidR="00000000" w:rsidRDefault="00000000">
      <w:pPr>
        <w:rPr>
          <w:rFonts w:hint="eastAsia"/>
        </w:rPr>
      </w:pPr>
      <w:r>
        <w:rPr>
          <w:rFonts w:hint="eastAsia"/>
        </w:rPr>
        <w:tab/>
        <w:t xml:space="preserve">11.  </w:t>
      </w:r>
      <w:r>
        <w:rPr>
          <w:rFonts w:hint="eastAsia"/>
        </w:rPr>
        <w:t>克罗地亚共和国宪法第</w:t>
      </w:r>
      <w:r>
        <w:rPr>
          <w:rFonts w:hint="eastAsia"/>
        </w:rPr>
        <w:t>14</w:t>
      </w:r>
      <w:r>
        <w:rPr>
          <w:rFonts w:hint="eastAsia"/>
        </w:rPr>
        <w:t>条在“基本自由和人权”一章的一般规定中阐明“克罗地亚共和国人人享有一切权利和自由，不论其种族、肤色、性别、语言、宗教、政治或其他见解、国籍或社会出身、财产、出生、教育、社会地位或其他身份”。按照这一规定，所有人毫无区别地享有《公约》所载的并得到克罗地亚立法保障的一切权利。</w:t>
      </w:r>
    </w:p>
    <w:p w:rsidR="00000000" w:rsidRDefault="00000000">
      <w:pPr>
        <w:rPr>
          <w:rFonts w:hint="eastAsia"/>
        </w:rPr>
      </w:pPr>
      <w:r>
        <w:rPr>
          <w:rFonts w:hint="eastAsia"/>
        </w:rPr>
        <w:tab/>
        <w:t xml:space="preserve">12.  </w:t>
      </w:r>
      <w:r>
        <w:rPr>
          <w:rFonts w:hint="eastAsia"/>
        </w:rPr>
        <w:t>非克罗地亚公民如果是在克罗地亚共和国合法居住并且按照外国人雇用条例被雇用，享有《公约》所载的一切权利，其工作条件与克罗地亚公民所享有的相同。</w:t>
      </w:r>
    </w:p>
    <w:p w:rsidR="00000000" w:rsidRDefault="00000000">
      <w:pPr>
        <w:rPr>
          <w:rFonts w:hint="eastAsia"/>
        </w:rPr>
      </w:pPr>
      <w:r>
        <w:rPr>
          <w:rFonts w:hint="eastAsia"/>
        </w:rPr>
        <w:tab/>
        <w:t xml:space="preserve">13.  </w:t>
      </w:r>
      <w:r>
        <w:rPr>
          <w:rFonts w:hint="eastAsia"/>
        </w:rPr>
        <w:t>《劳工法》是工作领域的一般条例，规定外国公民或无国籍的人可以根据《劳工法》和一项关于雇用这种人的特别法律规定的条件签订劳工合同。</w:t>
      </w:r>
    </w:p>
    <w:p w:rsidR="00000000" w:rsidRDefault="00000000">
      <w:pPr>
        <w:rPr>
          <w:rFonts w:hint="eastAsia"/>
        </w:rPr>
      </w:pPr>
      <w:r>
        <w:rPr>
          <w:rFonts w:hint="eastAsia"/>
        </w:rPr>
        <w:tab/>
        <w:t xml:space="preserve">14.  </w:t>
      </w:r>
      <w:r>
        <w:rPr>
          <w:rFonts w:hint="eastAsia"/>
        </w:rPr>
        <w:t>《外国人雇用法》是有关雇用外国人的特别条例，规定了外国人和无国籍的人可以在克罗地亚共和国工作的条件。该法第</w:t>
      </w:r>
      <w:r>
        <w:rPr>
          <w:rFonts w:hint="eastAsia"/>
        </w:rPr>
        <w:t>1</w:t>
      </w:r>
      <w:r>
        <w:rPr>
          <w:rFonts w:hint="eastAsia"/>
        </w:rPr>
        <w:t>条第</w:t>
      </w:r>
      <w:r>
        <w:rPr>
          <w:rFonts w:hint="eastAsia"/>
        </w:rPr>
        <w:t>2</w:t>
      </w:r>
      <w:r>
        <w:rPr>
          <w:rFonts w:hint="eastAsia"/>
        </w:rPr>
        <w:t>和第</w:t>
      </w:r>
      <w:r>
        <w:rPr>
          <w:rFonts w:hint="eastAsia"/>
        </w:rPr>
        <w:t>3</w:t>
      </w:r>
      <w:r>
        <w:rPr>
          <w:rFonts w:hint="eastAsia"/>
        </w:rPr>
        <w:t>款规定，外国人如果符合该法规定的一般和具体条件，可以凭工作证在克罗地亚共和国境内被雇用或工作。具有外国国籍或无国籍的克罗地亚人按该法理解的意义不算是外国人。</w:t>
      </w:r>
    </w:p>
    <w:p w:rsidR="00000000" w:rsidRDefault="00000000">
      <w:pPr>
        <w:rPr>
          <w:rFonts w:hint="eastAsia"/>
        </w:rPr>
      </w:pPr>
      <w:r>
        <w:rPr>
          <w:rFonts w:hint="eastAsia"/>
        </w:rPr>
        <w:tab/>
        <w:t xml:space="preserve">15.  </w:t>
      </w:r>
      <w:r>
        <w:rPr>
          <w:rFonts w:hint="eastAsia"/>
        </w:rPr>
        <w:t>因打算就业而希望进入克罗地亚共和国的外国人，根据《外国人迁移和暂时居留法》的规定，必须向主管机构或克罗地亚共和国在国外的使领馆申请就业入境签证。为了求学、学专业、科学研究或从事某种专业活动而进入克罗地亚共和国的外国人也必须申请类似的签证。发给这类签证必须得到内政部的同意，内政部在同意前必须先征求外国人为此申请签证的活动领域主管部门的意见。</w:t>
      </w:r>
    </w:p>
    <w:p w:rsidR="00000000" w:rsidRDefault="00000000">
      <w:pPr>
        <w:rPr>
          <w:rFonts w:hint="eastAsia"/>
        </w:rPr>
      </w:pPr>
      <w:r>
        <w:rPr>
          <w:rFonts w:hint="eastAsia"/>
        </w:rPr>
        <w:tab/>
        <w:t xml:space="preserve">16.  </w:t>
      </w:r>
      <w:r>
        <w:rPr>
          <w:rFonts w:hint="eastAsia"/>
        </w:rPr>
        <w:t>外国人也可得到商务签证，进行有关外国投资和外贸业务的条例设想的商务活动和其他活动，同样地外国人也可从事有关商务和技术合作合同、技术转让合同和外国投资合同规定的某些专业和专家事务的工作。这类商务签证由克罗地亚共和国在国外的使领馆或一个主管机构应有关外国人、一个法人或一个独立雇主的请求并提出商业部的裁定书后发给，如果外国人申请签证是要进行有关外国投资和外贸业务的条例设想的商务活动或其他活动；或在提出劳动和社会福利部的裁定书后发给，如果外国人申请商务签证是为了进行商务和技术合作合同、长期生产合作合同、技术转让合同和外国投资合同规定的专家和专业活动。</w:t>
      </w:r>
    </w:p>
    <w:p w:rsidR="00000000" w:rsidRDefault="00000000">
      <w:pPr>
        <w:rPr>
          <w:rFonts w:hint="eastAsia"/>
        </w:rPr>
      </w:pPr>
      <w:r>
        <w:rPr>
          <w:rFonts w:hint="eastAsia"/>
        </w:rPr>
        <w:tab/>
        <w:t xml:space="preserve">17.  </w:t>
      </w:r>
      <w:r>
        <w:rPr>
          <w:rFonts w:hint="eastAsia"/>
        </w:rPr>
        <w:t>克罗地亚在国外的使领馆将它签发的每份商务签证通知克罗地亚共和国内政部。</w:t>
      </w:r>
    </w:p>
    <w:p w:rsidR="00000000" w:rsidRDefault="00000000">
      <w:pPr>
        <w:rPr>
          <w:rFonts w:hint="eastAsia"/>
        </w:rPr>
      </w:pPr>
      <w:r>
        <w:rPr>
          <w:rFonts w:hint="eastAsia"/>
        </w:rPr>
        <w:tab/>
        <w:t xml:space="preserve">18.  </w:t>
      </w:r>
      <w:r>
        <w:rPr>
          <w:rFonts w:hint="eastAsia"/>
        </w:rPr>
        <w:t>商务签证的有效期是为其发签证的工作所需的时间，但最长到有关人士的护照到期为止。获得商业签证的外国人可在克罗地亚共和国停留到签证到期为止。主管机构可在下列情况下将商务签证在其有效期满之前予以注销：有关外国人未在签证发出之后一年内开始进行有关外国投资和外贸业务的条例设想的商务和其他活动，或者在这一期间内有关外国人并未设立自己的公司或他或她设立或投资的公司停止营业。除此之外，签证在下列情况下也会被提早注销：有关人士在比签证有效期短的时间内完成合同规定的工作；他或她在入境</w:t>
      </w:r>
      <w:r>
        <w:rPr>
          <w:rFonts w:hint="eastAsia"/>
        </w:rPr>
        <w:t>30</w:t>
      </w:r>
      <w:r>
        <w:rPr>
          <w:rFonts w:hint="eastAsia"/>
        </w:rPr>
        <w:t>天内没有开始工作；或他或她的工作停止。</w:t>
      </w:r>
    </w:p>
    <w:p w:rsidR="00000000" w:rsidRDefault="00000000">
      <w:pPr>
        <w:rPr>
          <w:rFonts w:hint="eastAsia"/>
        </w:rPr>
      </w:pPr>
      <w:r>
        <w:rPr>
          <w:rFonts w:hint="eastAsia"/>
        </w:rPr>
        <w:tab/>
        <w:t xml:space="preserve">19.  </w:t>
      </w:r>
      <w:r>
        <w:rPr>
          <w:rFonts w:hint="eastAsia"/>
        </w:rPr>
        <w:t>获得商务签证的外国人可在克罗地亚共和国停留到签证到期为止。持商务签证的外国人在下列情况下不得留在克罗地亚共和国：被下令离境、在克罗地亚共和国的居留权被取消或商务签证被注销。</w:t>
      </w:r>
    </w:p>
    <w:p w:rsidR="00000000" w:rsidRDefault="00000000">
      <w:pPr>
        <w:rPr>
          <w:rFonts w:hint="eastAsia"/>
        </w:rPr>
      </w:pPr>
      <w:r>
        <w:rPr>
          <w:rFonts w:hint="eastAsia"/>
        </w:rPr>
        <w:tab/>
        <w:t xml:space="preserve">20.  </w:t>
      </w:r>
      <w:r>
        <w:rPr>
          <w:rFonts w:hint="eastAsia"/>
        </w:rPr>
        <w:t>《外国人迁移和暂时居留法》第</w:t>
      </w:r>
      <w:r>
        <w:rPr>
          <w:rFonts w:hint="eastAsia"/>
        </w:rPr>
        <w:t>25</w:t>
      </w:r>
      <w:r>
        <w:rPr>
          <w:rFonts w:hint="eastAsia"/>
        </w:rPr>
        <w:t>条规定，外国人如希望在克罗地亚共和国停留三个月以上并且是为了求学、学专业、科学研究、就业或从事某种专业活动，必须在这一期间结束前申请延长暂时居留许可。延长暂时居留的许可只能为发给签证的理由发给。</w:t>
      </w:r>
    </w:p>
    <w:p w:rsidR="00000000" w:rsidRDefault="00000000">
      <w:pPr>
        <w:rPr>
          <w:rFonts w:hint="eastAsia"/>
        </w:rPr>
      </w:pPr>
      <w:r>
        <w:rPr>
          <w:rFonts w:hint="eastAsia"/>
        </w:rPr>
        <w:tab/>
        <w:t xml:space="preserve">21.  </w:t>
      </w:r>
      <w:r>
        <w:rPr>
          <w:rFonts w:hint="eastAsia"/>
        </w:rPr>
        <w:t>因为就业入境的外国人可获得延长暂时居留的许可，居留期间与其就业合同期间相同，但无论如何不超过两年，也不超过其护照的有效期。延长暂时居留的许可由主管机构发给并且记在有关人士的护照上。</w:t>
      </w:r>
    </w:p>
    <w:p w:rsidR="00000000" w:rsidRDefault="00000000">
      <w:pPr>
        <w:rPr>
          <w:rFonts w:hint="eastAsia"/>
        </w:rPr>
      </w:pPr>
      <w:r>
        <w:rPr>
          <w:rFonts w:hint="eastAsia"/>
        </w:rPr>
        <w:tab/>
        <w:t xml:space="preserve">22.  </w:t>
      </w:r>
      <w:r>
        <w:rPr>
          <w:rFonts w:hint="eastAsia"/>
        </w:rPr>
        <w:t>延长暂时居留的许可可予以延长。</w:t>
      </w:r>
    </w:p>
    <w:p w:rsidR="00000000" w:rsidRDefault="00000000">
      <w:pPr>
        <w:rPr>
          <w:rFonts w:hint="eastAsia"/>
        </w:rPr>
      </w:pPr>
      <w:r>
        <w:rPr>
          <w:rFonts w:hint="eastAsia"/>
        </w:rPr>
        <w:tab/>
        <w:t xml:space="preserve">23.  </w:t>
      </w:r>
      <w:r>
        <w:rPr>
          <w:rFonts w:hint="eastAsia"/>
        </w:rPr>
        <w:t>没有间断地在克罗地亚共和国就业三年的外国人可以申请永久居留。在申请永久居留时，外国人必须证明他有永久住所和职业。</w:t>
      </w:r>
    </w:p>
    <w:p w:rsidR="00000000" w:rsidRDefault="00000000">
      <w:pPr>
        <w:rPr>
          <w:rFonts w:hint="eastAsia"/>
        </w:rPr>
      </w:pPr>
      <w:r>
        <w:rPr>
          <w:rFonts w:hint="eastAsia"/>
        </w:rPr>
        <w:tab/>
        <w:t xml:space="preserve">24.  </w:t>
      </w:r>
      <w:r>
        <w:rPr>
          <w:rFonts w:hint="eastAsia"/>
        </w:rPr>
        <w:t>外国学生、研究生和为进修和从事科学研究工作而来的人如在克罗地亚共和国停留三个月以上，可根据科学和技术部向主管发给签证的机构就为什么应发给签证的理由提出的意见，获得特别入境签证。客座教授和讲师如在克罗地亚共和国停留三个月以上，也需要得到工作签证。为了发给这种签证，内政部在同意发给签证之前必须征求经济部的意见。</w:t>
      </w:r>
    </w:p>
    <w:p w:rsidR="00000000" w:rsidRDefault="00000000">
      <w:pPr>
        <w:rPr>
          <w:rFonts w:hint="eastAsia"/>
        </w:rPr>
      </w:pPr>
      <w:r>
        <w:rPr>
          <w:rFonts w:hint="eastAsia"/>
        </w:rPr>
        <w:tab/>
        <w:t xml:space="preserve">25.  </w:t>
      </w:r>
      <w:r>
        <w:rPr>
          <w:rFonts w:hint="eastAsia"/>
        </w:rPr>
        <w:t>根据科学、技术或第三级教育合作安排在克罗地亚共和国居留长达三个月的外国公民必须将其住址通知主管机构，但克罗地亚共和国与其仍然有签证制度的国家的国民除外，无论如何这些人不管是为旅游或为商务目的都需要入境签证。</w:t>
      </w:r>
    </w:p>
    <w:p w:rsidR="00000000" w:rsidRDefault="00000000">
      <w:pPr>
        <w:rPr>
          <w:rFonts w:hint="eastAsia"/>
        </w:rPr>
      </w:pPr>
      <w:r>
        <w:rPr>
          <w:rFonts w:hint="eastAsia"/>
        </w:rPr>
        <w:tab/>
        <w:t xml:space="preserve">26.  </w:t>
      </w:r>
      <w:r>
        <w:rPr>
          <w:rFonts w:hint="eastAsia"/>
        </w:rPr>
        <w:t>克罗地亚共和国第三级教育机构按照国际条约及有关其执行的细则雇用外国讲师，这些条约和细则根据互惠原则规定了讲师人数、挑选程序、雇用期间、薪酬和其他权利。</w:t>
      </w:r>
    </w:p>
    <w:p w:rsidR="00000000" w:rsidRDefault="00000000">
      <w:pPr>
        <w:rPr>
          <w:rFonts w:hint="eastAsia"/>
        </w:rPr>
      </w:pPr>
      <w:r>
        <w:rPr>
          <w:rFonts w:hint="eastAsia"/>
        </w:rPr>
        <w:tab/>
        <w:t xml:space="preserve">27.  </w:t>
      </w:r>
      <w:r>
        <w:rPr>
          <w:rFonts w:hint="eastAsia"/>
        </w:rPr>
        <w:t>根据发给的签证和延长居留的许可或商务签证，按照有关雇用外国人的条例可发给外国人工作证。</w:t>
      </w:r>
    </w:p>
    <w:p w:rsidR="00000000" w:rsidRDefault="00000000">
      <w:pPr>
        <w:rPr>
          <w:rFonts w:hint="eastAsia"/>
        </w:rPr>
      </w:pPr>
      <w:r>
        <w:rPr>
          <w:rFonts w:hint="eastAsia"/>
        </w:rPr>
        <w:tab/>
        <w:t xml:space="preserve">28.  </w:t>
      </w:r>
      <w:r>
        <w:rPr>
          <w:rFonts w:hint="eastAsia"/>
        </w:rPr>
        <w:t>萨格勒布的克罗地亚职业介绍厅中央办事处依照《外国人雇用法》的规定签发工作证。工作证是应雇主的请求发给的，但工作证应外国人本人的要求发给的情况，即可以发给个人工作证的情况除外。雇主视其总部所在地而定，提出外国人工作证的申请并附上需要雇用外国人的说明。</w:t>
      </w:r>
    </w:p>
    <w:p w:rsidR="00000000" w:rsidRDefault="00000000">
      <w:pPr>
        <w:rPr>
          <w:rFonts w:hint="eastAsia"/>
        </w:rPr>
      </w:pPr>
      <w:r>
        <w:rPr>
          <w:rFonts w:hint="eastAsia"/>
        </w:rPr>
        <w:tab/>
        <w:t xml:space="preserve">29.  </w:t>
      </w:r>
      <w:r>
        <w:rPr>
          <w:rFonts w:hint="eastAsia"/>
        </w:rPr>
        <w:t>已获得克罗地亚共和国永久居留权的外国人可以得到无限期的工作证。在这种情况下，有永久居留许可证的外国人提出个人工作证的申请。</w:t>
      </w:r>
    </w:p>
    <w:p w:rsidR="00000000" w:rsidRDefault="00000000">
      <w:pPr>
        <w:rPr>
          <w:rFonts w:hint="eastAsia"/>
        </w:rPr>
      </w:pPr>
      <w:r>
        <w:rPr>
          <w:rFonts w:hint="eastAsia"/>
        </w:rPr>
        <w:tab/>
        <w:t xml:space="preserve">30.  </w:t>
      </w:r>
      <w:r>
        <w:rPr>
          <w:rFonts w:hint="eastAsia"/>
        </w:rPr>
        <w:t>个人工作证也可发给申请工作证时能够提供下列证据的外国人：他或她在克罗地亚共和国将进行有关外国投资和外贸业务的条例设想的活动；他或她将从事商务和技术合作协定或合同、长期生产合作协定或合同、技术转让协定或合同规定的专业和专家工作。这种工作证的有效期是将进行有关活动或专家和专业工作的期间。</w:t>
      </w:r>
    </w:p>
    <w:p w:rsidR="00000000" w:rsidRDefault="00000000">
      <w:pPr>
        <w:rPr>
          <w:rFonts w:hint="eastAsia"/>
        </w:rPr>
      </w:pPr>
      <w:r>
        <w:rPr>
          <w:rFonts w:hint="eastAsia"/>
        </w:rPr>
        <w:tab/>
        <w:t xml:space="preserve">31.  </w:t>
      </w:r>
      <w:r>
        <w:rPr>
          <w:rFonts w:hint="eastAsia"/>
        </w:rPr>
        <w:t>克罗地亚职业介绍厅按照《外国人雇用法》第</w:t>
      </w:r>
      <w:r>
        <w:rPr>
          <w:rFonts w:hint="eastAsia"/>
        </w:rPr>
        <w:t>4</w:t>
      </w:r>
      <w:r>
        <w:rPr>
          <w:rFonts w:hint="eastAsia"/>
        </w:rPr>
        <w:t>条就发给工作证的申请作出裁决。发给外国人工作证的条件是，在克罗地亚职业介绍厅的记录上没有人符合雇主所订的雇用条件，并且符合克罗地亚共和国政府规定的克罗地亚共和国劳动市场政策。</w:t>
      </w:r>
    </w:p>
    <w:p w:rsidR="00000000" w:rsidRDefault="00000000">
      <w:pPr>
        <w:rPr>
          <w:rFonts w:hint="eastAsia"/>
        </w:rPr>
      </w:pPr>
      <w:r>
        <w:rPr>
          <w:rFonts w:hint="eastAsia"/>
        </w:rPr>
        <w:tab/>
        <w:t xml:space="preserve">32.  </w:t>
      </w:r>
      <w:r>
        <w:rPr>
          <w:rFonts w:hint="eastAsia"/>
        </w:rPr>
        <w:t>在健康保险领域，被保险人概念并未与国籍相联系，亦即受雇的克罗地亚国民和受雇的外国人享有同等待遇。因此，《健康保险法》中并没有关于移徙工人的特殊规定。社会保险，如保健设施的可得性和健康保险带来的其他权利，例如在工作场所受伤时的权利、《公约》条文特别提到的产假和病假的利用，克罗地亚国民和移徙工人是相同的。</w:t>
      </w:r>
    </w:p>
    <w:p w:rsidR="00000000" w:rsidRDefault="00000000">
      <w:pPr>
        <w:rPr>
          <w:rFonts w:hint="eastAsia"/>
        </w:rPr>
      </w:pPr>
      <w:r>
        <w:rPr>
          <w:rFonts w:hint="eastAsia"/>
        </w:rPr>
        <w:tab/>
        <w:t xml:space="preserve">33.  </w:t>
      </w:r>
      <w:r>
        <w:rPr>
          <w:rFonts w:hint="eastAsia"/>
        </w:rPr>
        <w:t>也适用于健康和失业保险领域的社会保险以及退休金领域的各项条约尊重适用受雇者在其领土上从事工作的签署国法律规章的一般原则。这些条约规定了这项原则的一个例外，主要适用于使领馆的雇员和被一个外国签署国的雇主调派到另一外国签署国领土的雇员。这些人员在他们停留在其他签署国领土上的期间，仍然按照他们被调派出去的国家的条例被保险。</w:t>
      </w:r>
    </w:p>
    <w:p w:rsidR="00000000" w:rsidRDefault="00000000">
      <w:pPr>
        <w:rPr>
          <w:rFonts w:hint="eastAsia"/>
        </w:rPr>
      </w:pPr>
      <w:r>
        <w:rPr>
          <w:rFonts w:hint="eastAsia"/>
        </w:rPr>
        <w:tab/>
        <w:t xml:space="preserve">34.  </w:t>
      </w:r>
      <w:r>
        <w:rPr>
          <w:rFonts w:hint="eastAsia"/>
        </w:rPr>
        <w:t>在克罗地亚共和国居留的外国学生、客座教授、讲师、科学家和研究生有权根据社会保险领域的国际条约享受社会保险。据此，外国国民可根据其本国的主管机构签发的证件得到在克罗地亚共和国享受保健的权利。如果不存在这类社会保险领域的国际条约，属于这一类别的外国人通过其在克罗地亚共和国的邀请组织缴付健康保险费享有得到保健的权利。必须尽早将这一类别人士的入境和离境通知克罗地亚健康保险基金。</w:t>
      </w:r>
    </w:p>
    <w:p w:rsidR="00000000" w:rsidRDefault="00000000">
      <w:pPr>
        <w:rPr>
          <w:rFonts w:hint="eastAsia"/>
        </w:rPr>
      </w:pPr>
      <w:r>
        <w:rPr>
          <w:rFonts w:hint="eastAsia"/>
        </w:rPr>
        <w:tab/>
        <w:t xml:space="preserve">35.  </w:t>
      </w:r>
      <w:r>
        <w:rPr>
          <w:rFonts w:hint="eastAsia"/>
        </w:rPr>
        <w:t>《退休保险法》第</w:t>
      </w:r>
      <w:r>
        <w:rPr>
          <w:rFonts w:hint="eastAsia"/>
        </w:rPr>
        <w:t>10</w:t>
      </w:r>
      <w:r>
        <w:rPr>
          <w:rFonts w:hint="eastAsia"/>
        </w:rPr>
        <w:t>条第</w:t>
      </w:r>
      <w:r>
        <w:rPr>
          <w:rFonts w:hint="eastAsia"/>
        </w:rPr>
        <w:t>5</w:t>
      </w:r>
      <w:r>
        <w:rPr>
          <w:rFonts w:hint="eastAsia"/>
        </w:rPr>
        <w:t>款对在克罗地亚工作的外国人的退休和残疾保险作了规定。该条规定在克罗地亚共和国工作的外国国民和无国籍人士必须有保险，除非国际条约另有规定。因此，构成强制保险基础的事实不是国籍而是工作。关于退休和残疾保险带来的权利的落实，只算这些人在克罗地亚地区获得的退休年资，如果被保险人在克罗地亚与其有社会保险条约的国家中没有年资</w:t>
      </w:r>
      <w:r>
        <w:rPr>
          <w:rFonts w:hint="eastAsia"/>
        </w:rPr>
        <w:t>(</w:t>
      </w:r>
      <w:r>
        <w:rPr>
          <w:rFonts w:hint="eastAsia"/>
        </w:rPr>
        <w:t>缴付退休金的记录</w:t>
      </w:r>
      <w:r>
        <w:rPr>
          <w:rFonts w:hint="eastAsia"/>
        </w:rPr>
        <w:t>)</w:t>
      </w:r>
      <w:r>
        <w:rPr>
          <w:rFonts w:hint="eastAsia"/>
        </w:rPr>
        <w:t>。住在国外的外国公民可根据互惠原则或条约在外国领取克罗地亚退休和残疾保险提供的养恤金。</w:t>
      </w:r>
    </w:p>
    <w:p w:rsidR="00000000" w:rsidRDefault="00000000">
      <w:pPr>
        <w:rPr>
          <w:rFonts w:hint="eastAsia"/>
        </w:rPr>
      </w:pPr>
      <w:r>
        <w:rPr>
          <w:rFonts w:hint="eastAsia"/>
        </w:rPr>
        <w:tab/>
        <w:t xml:space="preserve">36.  </w:t>
      </w:r>
      <w:r>
        <w:rPr>
          <w:rFonts w:hint="eastAsia"/>
        </w:rPr>
        <w:t>按照《社会福利法》为克罗地亚公民规定的条件，在克罗地亚共和国永久居留的无国籍人士也可享受福利带来的权利。在克罗地亚共和国永久居留的外国国民享有该法和国际条约规定的那些福利权利。</w:t>
      </w:r>
    </w:p>
    <w:p w:rsidR="00000000" w:rsidRDefault="00000000">
      <w:pPr>
        <w:rPr>
          <w:rFonts w:hint="eastAsia"/>
        </w:rPr>
      </w:pPr>
      <w:r>
        <w:rPr>
          <w:rFonts w:hint="eastAsia"/>
        </w:rPr>
        <w:tab/>
        <w:t xml:space="preserve">37.  </w:t>
      </w:r>
      <w:r>
        <w:rPr>
          <w:rFonts w:hint="eastAsia"/>
        </w:rPr>
        <w:t>克罗地亚公民和在克罗地亚共和国合法居留的外国人按照同等条件有权享受产妇福利，但失业母亲和领取退休养恤金的母亲没有产假的权利。</w:t>
      </w:r>
    </w:p>
    <w:p w:rsidR="00000000" w:rsidRDefault="00000000">
      <w:pPr>
        <w:rPr>
          <w:rFonts w:hint="eastAsia"/>
        </w:rPr>
      </w:pPr>
      <w:r>
        <w:rPr>
          <w:rFonts w:hint="eastAsia"/>
        </w:rPr>
        <w:tab/>
        <w:t xml:space="preserve">38.  </w:t>
      </w:r>
      <w:r>
        <w:rPr>
          <w:rFonts w:hint="eastAsia"/>
        </w:rPr>
        <w:t>在克罗地亚共和国，对于在克罗地亚共和国永久或暂时居留的、不论其国籍为何的所有</w:t>
      </w:r>
      <w:r>
        <w:rPr>
          <w:rFonts w:hint="eastAsia"/>
        </w:rPr>
        <w:t>6</w:t>
      </w:r>
      <w:r>
        <w:rPr>
          <w:rFonts w:hint="eastAsia"/>
        </w:rPr>
        <w:t>岁至</w:t>
      </w:r>
      <w:r>
        <w:rPr>
          <w:rFonts w:hint="eastAsia"/>
        </w:rPr>
        <w:t>15</w:t>
      </w:r>
      <w:r>
        <w:rPr>
          <w:rFonts w:hint="eastAsia"/>
        </w:rPr>
        <w:t>岁儿童，小学教育是义务性的并且是免费的。</w:t>
      </w:r>
    </w:p>
    <w:p w:rsidR="00000000" w:rsidRDefault="00000000">
      <w:pPr>
        <w:spacing w:after="240"/>
        <w:rPr>
          <w:rFonts w:hint="eastAsia"/>
        </w:rPr>
      </w:pPr>
      <w:r>
        <w:rPr>
          <w:rFonts w:hint="eastAsia"/>
        </w:rPr>
        <w:tab/>
        <w:t xml:space="preserve">39.  </w:t>
      </w:r>
      <w:r>
        <w:rPr>
          <w:rFonts w:hint="eastAsia"/>
        </w:rPr>
        <w:t>根据《中等教育法》，中等教育依其能力并按照法律对所有人平等开放。所有完成小学教育的儿童均有权按照同等条件在招生决定确定的人数范围内在中学注册入学。教育和运动部根据各中学的建议，为每个学校作出招生决定。</w:t>
      </w:r>
    </w:p>
    <w:p w:rsidR="00000000" w:rsidRDefault="00000000">
      <w:pPr>
        <w:pStyle w:val="Heading3"/>
        <w:rPr>
          <w:rFonts w:hint="eastAsia"/>
        </w:rPr>
      </w:pPr>
      <w:r>
        <w:rPr>
          <w:rFonts w:hint="eastAsia"/>
        </w:rPr>
        <w:t>第</w:t>
      </w:r>
      <w:r>
        <w:rPr>
          <w:rFonts w:hint="eastAsia"/>
        </w:rPr>
        <w:t xml:space="preserve"> 3 </w:t>
      </w:r>
      <w:r>
        <w:rPr>
          <w:rFonts w:hint="eastAsia"/>
        </w:rPr>
        <w:t>条</w:t>
      </w:r>
    </w:p>
    <w:p w:rsidR="00000000" w:rsidRDefault="00000000">
      <w:pPr>
        <w:spacing w:after="320"/>
        <w:rPr>
          <w:rFonts w:hint="eastAsia"/>
        </w:rPr>
      </w:pPr>
      <w:r>
        <w:rPr>
          <w:rFonts w:hint="eastAsia"/>
        </w:rPr>
        <w:tab/>
        <w:t xml:space="preserve">40.  </w:t>
      </w:r>
      <w:r>
        <w:rPr>
          <w:rFonts w:hint="eastAsia"/>
        </w:rPr>
        <w:t>克罗地亚共和国是《消除对妇女一切形式歧视公约》的缔约国，于</w:t>
      </w:r>
      <w:r>
        <w:rPr>
          <w:rFonts w:hint="eastAsia"/>
        </w:rPr>
        <w:t>1998</w:t>
      </w:r>
      <w:r>
        <w:rPr>
          <w:rFonts w:hint="eastAsia"/>
        </w:rPr>
        <w:t>年</w:t>
      </w:r>
      <w:r>
        <w:rPr>
          <w:rFonts w:hint="eastAsia"/>
        </w:rPr>
        <w:t>1</w:t>
      </w:r>
      <w:r>
        <w:rPr>
          <w:rFonts w:hint="eastAsia"/>
        </w:rPr>
        <w:t>月向消除对妇女歧视委员会提出初次报告。因此，关于《公约》这一条的实施情况，我们谨提请注意有关上述公约以及克罗地亚共和国也是缔约国的国际劳工组织同酬公约</w:t>
      </w:r>
      <w:r>
        <w:rPr>
          <w:rFonts w:hint="eastAsia"/>
        </w:rPr>
        <w:t>(</w:t>
      </w:r>
      <w:r>
        <w:rPr>
          <w:rFonts w:hint="eastAsia"/>
        </w:rPr>
        <w:t>第</w:t>
      </w:r>
      <w:r>
        <w:rPr>
          <w:rFonts w:hint="eastAsia"/>
        </w:rPr>
        <w:t>100</w:t>
      </w:r>
      <w:r>
        <w:rPr>
          <w:rFonts w:hint="eastAsia"/>
        </w:rPr>
        <w:t>号</w:t>
      </w:r>
      <w:r>
        <w:rPr>
          <w:rFonts w:hint="eastAsia"/>
        </w:rPr>
        <w:t>)</w:t>
      </w:r>
      <w:r>
        <w:rPr>
          <w:rFonts w:hint="eastAsia"/>
        </w:rPr>
        <w:t>和歧视</w:t>
      </w:r>
      <w:r>
        <w:rPr>
          <w:rFonts w:hint="eastAsia"/>
        </w:rPr>
        <w:t>(</w:t>
      </w:r>
      <w:r>
        <w:rPr>
          <w:rFonts w:hint="eastAsia"/>
        </w:rPr>
        <w:t>就业和职业</w:t>
      </w:r>
      <w:r>
        <w:rPr>
          <w:rFonts w:hint="eastAsia"/>
        </w:rPr>
        <w:t>)</w:t>
      </w:r>
      <w:r>
        <w:rPr>
          <w:rFonts w:hint="eastAsia"/>
        </w:rPr>
        <w:t>公约</w:t>
      </w:r>
      <w:r>
        <w:rPr>
          <w:rFonts w:hint="eastAsia"/>
        </w:rPr>
        <w:t>(</w:t>
      </w:r>
      <w:r>
        <w:rPr>
          <w:rFonts w:hint="eastAsia"/>
        </w:rPr>
        <w:t>第</w:t>
      </w:r>
      <w:r>
        <w:rPr>
          <w:rFonts w:hint="eastAsia"/>
        </w:rPr>
        <w:t>111</w:t>
      </w:r>
      <w:r>
        <w:rPr>
          <w:rFonts w:hint="eastAsia"/>
        </w:rPr>
        <w:t>号</w:t>
      </w:r>
      <w:r>
        <w:rPr>
          <w:rFonts w:hint="eastAsia"/>
        </w:rPr>
        <w:t>)</w:t>
      </w:r>
      <w:r>
        <w:rPr>
          <w:rFonts w:hint="eastAsia"/>
        </w:rPr>
        <w:t>实施情况的报告。本报告附有克罗地亚共和国政府根据平等问题委员会的建议于</w:t>
      </w:r>
      <w:r>
        <w:rPr>
          <w:rFonts w:hint="eastAsia"/>
        </w:rPr>
        <w:t>1997</w:t>
      </w:r>
      <w:r>
        <w:rPr>
          <w:rFonts w:hint="eastAsia"/>
        </w:rPr>
        <w:t>年</w:t>
      </w:r>
      <w:r>
        <w:rPr>
          <w:rFonts w:hint="eastAsia"/>
        </w:rPr>
        <w:t>12</w:t>
      </w:r>
      <w:r>
        <w:rPr>
          <w:rFonts w:hint="eastAsia"/>
        </w:rPr>
        <w:t>月</w:t>
      </w:r>
      <w:r>
        <w:rPr>
          <w:rFonts w:hint="eastAsia"/>
        </w:rPr>
        <w:t>18</w:t>
      </w:r>
      <w:r>
        <w:rPr>
          <w:rFonts w:hint="eastAsia"/>
        </w:rPr>
        <w:t>日通过的克罗地亚共和国促进平等的国家政策和有关其执行情况的报告。</w:t>
      </w:r>
    </w:p>
    <w:p w:rsidR="00000000" w:rsidRDefault="00000000">
      <w:pPr>
        <w:pStyle w:val="Heading3"/>
        <w:rPr>
          <w:rFonts w:hint="eastAsia"/>
        </w:rPr>
      </w:pPr>
      <w:r>
        <w:rPr>
          <w:rFonts w:hint="eastAsia"/>
        </w:rPr>
        <w:t>第</w:t>
      </w:r>
      <w:r>
        <w:rPr>
          <w:rFonts w:hint="eastAsia"/>
        </w:rPr>
        <w:t xml:space="preserve"> 4 </w:t>
      </w:r>
      <w:r>
        <w:rPr>
          <w:rFonts w:hint="eastAsia"/>
        </w:rPr>
        <w:t>条</w:t>
      </w:r>
    </w:p>
    <w:p w:rsidR="00000000" w:rsidRDefault="00000000">
      <w:pPr>
        <w:rPr>
          <w:rFonts w:hint="eastAsia"/>
        </w:rPr>
      </w:pPr>
      <w:r>
        <w:rPr>
          <w:rFonts w:hint="eastAsia"/>
        </w:rPr>
        <w:tab/>
        <w:t xml:space="preserve">41.  </w:t>
      </w:r>
      <w:r>
        <w:rPr>
          <w:rFonts w:hint="eastAsia"/>
        </w:rPr>
        <w:t>宪法第</w:t>
      </w:r>
      <w:r>
        <w:rPr>
          <w:rFonts w:hint="eastAsia"/>
        </w:rPr>
        <w:t>101</w:t>
      </w:r>
      <w:r>
        <w:rPr>
          <w:rFonts w:hint="eastAsia"/>
        </w:rPr>
        <w:t>条第</w:t>
      </w:r>
      <w:r>
        <w:rPr>
          <w:rFonts w:hint="eastAsia"/>
        </w:rPr>
        <w:t>1</w:t>
      </w:r>
      <w:r>
        <w:rPr>
          <w:rFonts w:hint="eastAsia"/>
        </w:rPr>
        <w:t>款规定，共和国总统可在发生下列情况时发布具有法律效力的政令并采取非常措施：存在战争状态、克罗地亚共和国的独立和完整直接受到威胁、政府各机构无法正常地履行其宪法职责。共和国总统行使这项权力的同时，议会不得被解散。宪法明文规定共和国总统必须将他按照宪法第</w:t>
      </w:r>
      <w:r>
        <w:rPr>
          <w:rFonts w:hint="eastAsia"/>
        </w:rPr>
        <w:t>101</w:t>
      </w:r>
      <w:r>
        <w:rPr>
          <w:rFonts w:hint="eastAsia"/>
        </w:rPr>
        <w:t>条授予的权力发布的具有法律效力的政令尽快在议会能够开会时提交议会确认。</w:t>
      </w:r>
    </w:p>
    <w:p w:rsidR="00000000" w:rsidRDefault="00000000">
      <w:pPr>
        <w:rPr>
          <w:rFonts w:hint="eastAsia"/>
        </w:rPr>
      </w:pPr>
      <w:r>
        <w:rPr>
          <w:rFonts w:hint="eastAsia"/>
        </w:rPr>
        <w:tab/>
        <w:t xml:space="preserve">42.  </w:t>
      </w:r>
      <w:r>
        <w:rPr>
          <w:rFonts w:hint="eastAsia"/>
        </w:rPr>
        <w:t>宪法规定了行政部门可侵犯立法机关工作的三种可能情况：</w:t>
      </w:r>
    </w:p>
    <w:p w:rsidR="00000000" w:rsidRDefault="00000000">
      <w:pPr>
        <w:numPr>
          <w:ilvl w:val="0"/>
          <w:numId w:val="28"/>
        </w:numPr>
        <w:rPr>
          <w:rFonts w:hint="eastAsia"/>
        </w:rPr>
      </w:pPr>
      <w:r>
        <w:rPr>
          <w:rFonts w:hint="eastAsia"/>
        </w:rPr>
        <w:t>发生国家由于外因或内因处于危险状态的紧急需要情况；</w:t>
      </w:r>
    </w:p>
    <w:p w:rsidR="00000000" w:rsidRDefault="00000000">
      <w:pPr>
        <w:numPr>
          <w:ilvl w:val="0"/>
          <w:numId w:val="28"/>
        </w:numPr>
        <w:rPr>
          <w:rFonts w:hint="eastAsia"/>
        </w:rPr>
      </w:pPr>
      <w:r>
        <w:rPr>
          <w:rFonts w:hint="eastAsia"/>
        </w:rPr>
        <w:t>通过一般的标准化条例授予行政部门管理某些社会关系的直接宪法权力的情况；</w:t>
      </w:r>
    </w:p>
    <w:p w:rsidR="00000000" w:rsidRDefault="00000000">
      <w:pPr>
        <w:numPr>
          <w:ilvl w:val="0"/>
          <w:numId w:val="28"/>
        </w:numPr>
        <w:rPr>
          <w:rFonts w:hint="eastAsia"/>
        </w:rPr>
      </w:pPr>
      <w:r>
        <w:rPr>
          <w:rFonts w:hint="eastAsia"/>
        </w:rPr>
        <w:t>立法授权的情况，即立法机构本身将其立法权力或多或少地转移给行政部门。</w:t>
      </w:r>
    </w:p>
    <w:p w:rsidR="00000000" w:rsidRDefault="00000000">
      <w:pPr>
        <w:rPr>
          <w:rFonts w:hint="eastAsia"/>
        </w:rPr>
      </w:pPr>
      <w:r>
        <w:rPr>
          <w:rFonts w:hint="eastAsia"/>
        </w:rPr>
        <w:tab/>
        <w:t xml:space="preserve">43.  </w:t>
      </w:r>
      <w:r>
        <w:rPr>
          <w:rFonts w:hint="eastAsia"/>
        </w:rPr>
        <w:t>克罗地亚共和国宪法第</w:t>
      </w:r>
      <w:r>
        <w:rPr>
          <w:rFonts w:hint="eastAsia"/>
        </w:rPr>
        <w:t>16</w:t>
      </w:r>
      <w:r>
        <w:rPr>
          <w:rFonts w:hint="eastAsia"/>
        </w:rPr>
        <w:t>条和第</w:t>
      </w:r>
      <w:r>
        <w:rPr>
          <w:rFonts w:hint="eastAsia"/>
        </w:rPr>
        <w:t>17</w:t>
      </w:r>
      <w:r>
        <w:rPr>
          <w:rFonts w:hint="eastAsia"/>
        </w:rPr>
        <w:t>条规定了限制公民权利和自由的可能性：</w:t>
      </w:r>
    </w:p>
    <w:p w:rsidR="00000000" w:rsidRDefault="00000000">
      <w:pPr>
        <w:pStyle w:val="ad"/>
        <w:rPr>
          <w:rFonts w:hint="eastAsia"/>
        </w:rPr>
      </w:pPr>
      <w:r>
        <w:rPr>
          <w:rFonts w:hint="eastAsia"/>
        </w:rPr>
        <w:t>“自由和权利只能在下述情况下依法加以限制：为了保护其他人的自由和权利以及治安、公共道德和健康。</w:t>
      </w:r>
    </w:p>
    <w:p w:rsidR="00000000" w:rsidRDefault="00000000">
      <w:pPr>
        <w:pStyle w:val="ad"/>
        <w:rPr>
          <w:rFonts w:hint="eastAsia"/>
        </w:rPr>
      </w:pPr>
      <w:r>
        <w:rPr>
          <w:rFonts w:hint="eastAsia"/>
        </w:rPr>
        <w:t>在战争状态或共和国的独立和完整受到直接威胁以及发生严重自然灾害时，宪法保障的个人自由和权利可能受到限制。克罗地亚国家议会以所有议员的三分之二多数就此作出决定，如果议会不能开会，那么由共和国总统作出决定。</w:t>
      </w:r>
    </w:p>
    <w:p w:rsidR="00000000" w:rsidRDefault="00000000">
      <w:pPr>
        <w:pStyle w:val="ad"/>
        <w:rPr>
          <w:rFonts w:hint="eastAsia"/>
        </w:rPr>
      </w:pPr>
      <w:r>
        <w:rPr>
          <w:rFonts w:hint="eastAsia"/>
        </w:rPr>
        <w:t>限制程度必须与危险性质相称，而且不能因此而使公民因种族、肤色、性别、语言、宗教、族裔或社会出身而受到不平等待遇。</w:t>
      </w:r>
    </w:p>
    <w:p w:rsidR="00000000" w:rsidRDefault="00000000">
      <w:pPr>
        <w:pStyle w:val="ad"/>
        <w:rPr>
          <w:rFonts w:hint="eastAsia"/>
        </w:rPr>
      </w:pPr>
      <w:r>
        <w:rPr>
          <w:rFonts w:hint="eastAsia"/>
        </w:rPr>
        <w:t>即使发生国家的生存受到直接威胁的情况，也不能对实施宪法关于下列事项的规定施加任何限制：生命权；禁止酷刑、残忍或有辱人格的程序或惩罚；依法确定犯罪行为和刑罚；思想、良心和宗教自由。”</w:t>
      </w:r>
    </w:p>
    <w:p w:rsidR="00000000" w:rsidRDefault="00000000">
      <w:pPr>
        <w:rPr>
          <w:rFonts w:hint="eastAsia"/>
        </w:rPr>
      </w:pPr>
      <w:r>
        <w:rPr>
          <w:rFonts w:hint="eastAsia"/>
        </w:rPr>
        <w:tab/>
        <w:t xml:space="preserve">44.  </w:t>
      </w:r>
      <w:r>
        <w:rPr>
          <w:rFonts w:hint="eastAsia"/>
        </w:rPr>
        <w:t>除了上述限制，宪法明确地规定了某些公民权利和自由可被限制的情况：</w:t>
      </w:r>
    </w:p>
    <w:p w:rsidR="00000000" w:rsidRDefault="00000000">
      <w:pPr>
        <w:numPr>
          <w:ilvl w:val="0"/>
          <w:numId w:val="29"/>
        </w:numPr>
        <w:rPr>
          <w:rFonts w:hint="eastAsia"/>
        </w:rPr>
      </w:pPr>
      <w:r>
        <w:rPr>
          <w:rFonts w:hint="eastAsia"/>
        </w:rPr>
        <w:t>在克罗地亚共和国境内迁移的权利以及进入和离开克罗地亚的权利，如果为了保护法律和秩序或他人的健康、权利和自由有此需要时，可通过立法例外地加以限制</w:t>
      </w:r>
      <w:r>
        <w:rPr>
          <w:rFonts w:hint="eastAsia"/>
        </w:rPr>
        <w:t>(</w:t>
      </w:r>
      <w:r>
        <w:rPr>
          <w:rFonts w:hint="eastAsia"/>
        </w:rPr>
        <w:t>宪法第</w:t>
      </w:r>
      <w:r>
        <w:rPr>
          <w:rFonts w:hint="eastAsia"/>
        </w:rPr>
        <w:t>32</w:t>
      </w:r>
      <w:r>
        <w:rPr>
          <w:rFonts w:hint="eastAsia"/>
        </w:rPr>
        <w:t>条第</w:t>
      </w:r>
      <w:r>
        <w:rPr>
          <w:rFonts w:hint="eastAsia"/>
        </w:rPr>
        <w:t>3</w:t>
      </w:r>
      <w:r>
        <w:rPr>
          <w:rFonts w:hint="eastAsia"/>
        </w:rPr>
        <w:t>款</w:t>
      </w:r>
      <w:r>
        <w:rPr>
          <w:rFonts w:hint="eastAsia"/>
        </w:rPr>
        <w:t>)</w:t>
      </w:r>
      <w:r>
        <w:rPr>
          <w:rFonts w:hint="eastAsia"/>
        </w:rPr>
        <w:t>；</w:t>
      </w:r>
    </w:p>
    <w:p w:rsidR="00000000" w:rsidRDefault="00000000">
      <w:pPr>
        <w:numPr>
          <w:ilvl w:val="0"/>
          <w:numId w:val="29"/>
        </w:numPr>
        <w:rPr>
          <w:rFonts w:hint="eastAsia"/>
        </w:rPr>
      </w:pPr>
      <w:r>
        <w:rPr>
          <w:rFonts w:hint="eastAsia"/>
        </w:rPr>
        <w:t>为保护国家安全或执行刑事诉讼程序所需的限制只能由法规加以规定</w:t>
      </w:r>
      <w:r>
        <w:rPr>
          <w:rFonts w:hint="eastAsia"/>
        </w:rPr>
        <w:t>(</w:t>
      </w:r>
      <w:r>
        <w:rPr>
          <w:rFonts w:hint="eastAsia"/>
        </w:rPr>
        <w:t>第</w:t>
      </w:r>
      <w:r>
        <w:rPr>
          <w:rFonts w:hint="eastAsia"/>
        </w:rPr>
        <w:t>36</w:t>
      </w:r>
      <w:r>
        <w:rPr>
          <w:rFonts w:hint="eastAsia"/>
        </w:rPr>
        <w:t>条第</w:t>
      </w:r>
      <w:r>
        <w:rPr>
          <w:rFonts w:hint="eastAsia"/>
        </w:rPr>
        <w:t>2</w:t>
      </w:r>
      <w:r>
        <w:rPr>
          <w:rFonts w:hint="eastAsia"/>
        </w:rPr>
        <w:t>款</w:t>
      </w:r>
      <w:r>
        <w:rPr>
          <w:rFonts w:hint="eastAsia"/>
        </w:rPr>
        <w:t>)</w:t>
      </w:r>
      <w:r>
        <w:rPr>
          <w:rFonts w:hint="eastAsia"/>
        </w:rPr>
        <w:t>；</w:t>
      </w:r>
    </w:p>
    <w:p w:rsidR="00000000" w:rsidRDefault="00000000">
      <w:pPr>
        <w:numPr>
          <w:ilvl w:val="0"/>
          <w:numId w:val="29"/>
        </w:numPr>
        <w:rPr>
          <w:rFonts w:hint="eastAsia"/>
        </w:rPr>
      </w:pPr>
      <w:r>
        <w:rPr>
          <w:rFonts w:hint="eastAsia"/>
        </w:rPr>
        <w:t>自由结社的权利受到禁止暴力威胁克罗地亚共和国的民主宪政秩序以及独立、团结和领土完整的限制</w:t>
      </w:r>
      <w:r>
        <w:rPr>
          <w:rFonts w:hint="eastAsia"/>
        </w:rPr>
        <w:t>(</w:t>
      </w:r>
      <w:r>
        <w:rPr>
          <w:rFonts w:hint="eastAsia"/>
        </w:rPr>
        <w:t>第</w:t>
      </w:r>
      <w:r>
        <w:rPr>
          <w:rFonts w:hint="eastAsia"/>
        </w:rPr>
        <w:t>43</w:t>
      </w:r>
      <w:r>
        <w:rPr>
          <w:rFonts w:hint="eastAsia"/>
        </w:rPr>
        <w:t>条第</w:t>
      </w:r>
      <w:r>
        <w:rPr>
          <w:rFonts w:hint="eastAsia"/>
        </w:rPr>
        <w:t>2</w:t>
      </w:r>
      <w:r>
        <w:rPr>
          <w:rFonts w:hint="eastAsia"/>
        </w:rPr>
        <w:t>款</w:t>
      </w:r>
      <w:r>
        <w:rPr>
          <w:rFonts w:hint="eastAsia"/>
        </w:rPr>
        <w:t>)</w:t>
      </w:r>
      <w:r>
        <w:rPr>
          <w:rFonts w:hint="eastAsia"/>
        </w:rPr>
        <w:t>；</w:t>
      </w:r>
    </w:p>
    <w:p w:rsidR="00000000" w:rsidRDefault="00000000">
      <w:pPr>
        <w:numPr>
          <w:ilvl w:val="0"/>
          <w:numId w:val="29"/>
        </w:numPr>
        <w:rPr>
          <w:rFonts w:hint="eastAsia"/>
        </w:rPr>
      </w:pPr>
      <w:r>
        <w:rPr>
          <w:rFonts w:hint="eastAsia"/>
        </w:rPr>
        <w:t>军队和警察组织工会可由法规加以限制</w:t>
      </w:r>
      <w:r>
        <w:rPr>
          <w:rFonts w:hint="eastAsia"/>
        </w:rPr>
        <w:t>(</w:t>
      </w:r>
      <w:r>
        <w:rPr>
          <w:rFonts w:hint="eastAsia"/>
        </w:rPr>
        <w:t>第</w:t>
      </w:r>
      <w:r>
        <w:rPr>
          <w:rFonts w:hint="eastAsia"/>
        </w:rPr>
        <w:t>59</w:t>
      </w:r>
      <w:r>
        <w:rPr>
          <w:rFonts w:hint="eastAsia"/>
        </w:rPr>
        <w:t>条第</w:t>
      </w:r>
      <w:r>
        <w:rPr>
          <w:rFonts w:hint="eastAsia"/>
        </w:rPr>
        <w:t>3</w:t>
      </w:r>
      <w:r>
        <w:rPr>
          <w:rFonts w:hint="eastAsia"/>
        </w:rPr>
        <w:t>款</w:t>
      </w:r>
      <w:r>
        <w:rPr>
          <w:rFonts w:hint="eastAsia"/>
        </w:rPr>
        <w:t>)</w:t>
      </w:r>
      <w:r>
        <w:rPr>
          <w:rFonts w:hint="eastAsia"/>
        </w:rPr>
        <w:t>；</w:t>
      </w:r>
    </w:p>
    <w:p w:rsidR="00000000" w:rsidRDefault="00000000">
      <w:pPr>
        <w:numPr>
          <w:ilvl w:val="0"/>
          <w:numId w:val="29"/>
        </w:numPr>
        <w:rPr>
          <w:rFonts w:hint="eastAsia"/>
        </w:rPr>
      </w:pPr>
      <w:r>
        <w:rPr>
          <w:rFonts w:hint="eastAsia"/>
        </w:rPr>
        <w:t>军队、警察、公务员和公职人权罢工的权利，依照法律规定，可由法规加以限制</w:t>
      </w:r>
      <w:r>
        <w:rPr>
          <w:rFonts w:hint="eastAsia"/>
        </w:rPr>
        <w:t>(</w:t>
      </w:r>
      <w:r>
        <w:rPr>
          <w:rFonts w:hint="eastAsia"/>
        </w:rPr>
        <w:t>第</w:t>
      </w:r>
      <w:r>
        <w:rPr>
          <w:rFonts w:hint="eastAsia"/>
        </w:rPr>
        <w:t>60</w:t>
      </w:r>
      <w:r>
        <w:rPr>
          <w:rFonts w:hint="eastAsia"/>
        </w:rPr>
        <w:t>条第</w:t>
      </w:r>
      <w:r>
        <w:rPr>
          <w:rFonts w:hint="eastAsia"/>
        </w:rPr>
        <w:t>2</w:t>
      </w:r>
      <w:r>
        <w:rPr>
          <w:rFonts w:hint="eastAsia"/>
        </w:rPr>
        <w:t>款</w:t>
      </w:r>
      <w:r>
        <w:rPr>
          <w:rFonts w:hint="eastAsia"/>
        </w:rPr>
        <w:t>)</w:t>
      </w:r>
      <w:r>
        <w:rPr>
          <w:rFonts w:hint="eastAsia"/>
        </w:rPr>
        <w:t>；</w:t>
      </w:r>
    </w:p>
    <w:p w:rsidR="00000000" w:rsidRDefault="00000000">
      <w:pPr>
        <w:numPr>
          <w:ilvl w:val="0"/>
          <w:numId w:val="29"/>
        </w:numPr>
        <w:spacing w:after="320"/>
        <w:rPr>
          <w:rFonts w:hint="eastAsia"/>
        </w:rPr>
      </w:pPr>
      <w:r>
        <w:rPr>
          <w:rFonts w:hint="eastAsia"/>
        </w:rPr>
        <w:t>为了克罗地亚共和国的利益，财产权利可能依法受到限制或被没收，但按市场价值予以补偿。为了保护克罗地亚共和国的利益和安全、自然、环境和健康，经营企业的自由和财产权利可依法例外地予以限制</w:t>
      </w:r>
      <w:r>
        <w:rPr>
          <w:rFonts w:hint="eastAsia"/>
        </w:rPr>
        <w:t>(</w:t>
      </w:r>
      <w:r>
        <w:rPr>
          <w:rFonts w:hint="eastAsia"/>
        </w:rPr>
        <w:t>第</w:t>
      </w:r>
      <w:r>
        <w:rPr>
          <w:rFonts w:hint="eastAsia"/>
        </w:rPr>
        <w:t>50</w:t>
      </w:r>
      <w:r>
        <w:rPr>
          <w:rFonts w:hint="eastAsia"/>
        </w:rPr>
        <w:t>条第</w:t>
      </w:r>
      <w:r>
        <w:rPr>
          <w:rFonts w:hint="eastAsia"/>
        </w:rPr>
        <w:t>1</w:t>
      </w:r>
      <w:r>
        <w:rPr>
          <w:rFonts w:hint="eastAsia"/>
        </w:rPr>
        <w:t>和第</w:t>
      </w:r>
      <w:r>
        <w:rPr>
          <w:rFonts w:hint="eastAsia"/>
        </w:rPr>
        <w:t>2</w:t>
      </w:r>
      <w:r>
        <w:rPr>
          <w:rFonts w:hint="eastAsia"/>
        </w:rPr>
        <w:t>款</w:t>
      </w:r>
      <w:r>
        <w:rPr>
          <w:rFonts w:hint="eastAsia"/>
        </w:rPr>
        <w:t>)</w:t>
      </w:r>
      <w:r>
        <w:rPr>
          <w:rFonts w:hint="eastAsia"/>
        </w:rPr>
        <w:t>。</w:t>
      </w:r>
    </w:p>
    <w:p w:rsidR="00000000" w:rsidRDefault="00000000">
      <w:pPr>
        <w:pStyle w:val="Heading3"/>
        <w:rPr>
          <w:rFonts w:hint="eastAsia"/>
        </w:rPr>
      </w:pPr>
      <w:r>
        <w:rPr>
          <w:rFonts w:hint="eastAsia"/>
        </w:rPr>
        <w:t>第</w:t>
      </w:r>
      <w:r>
        <w:rPr>
          <w:rFonts w:hint="eastAsia"/>
        </w:rPr>
        <w:t xml:space="preserve"> 5 </w:t>
      </w:r>
      <w:r>
        <w:rPr>
          <w:rFonts w:hint="eastAsia"/>
        </w:rPr>
        <w:t>条</w:t>
      </w:r>
    </w:p>
    <w:p w:rsidR="00000000" w:rsidRDefault="00000000">
      <w:pPr>
        <w:rPr>
          <w:rFonts w:hint="eastAsia"/>
        </w:rPr>
      </w:pPr>
      <w:r>
        <w:rPr>
          <w:rFonts w:hint="eastAsia"/>
        </w:rPr>
        <w:tab/>
        <w:t xml:space="preserve">45.  </w:t>
      </w:r>
      <w:r>
        <w:rPr>
          <w:rFonts w:hint="eastAsia"/>
        </w:rPr>
        <w:t>如果克罗地亚国内规章规定的某些权利范围小于《公约》所规定者，根据克罗地亚共和国宪法第</w:t>
      </w:r>
      <w:r>
        <w:rPr>
          <w:rFonts w:hint="eastAsia"/>
        </w:rPr>
        <w:t>134</w:t>
      </w:r>
      <w:r>
        <w:rPr>
          <w:rFonts w:hint="eastAsia"/>
        </w:rPr>
        <w:t>条的规定，《公约》的规定将直接适用；因为宪法第</w:t>
      </w:r>
      <w:r>
        <w:rPr>
          <w:rFonts w:hint="eastAsia"/>
        </w:rPr>
        <w:t>134</w:t>
      </w:r>
      <w:r>
        <w:rPr>
          <w:rFonts w:hint="eastAsia"/>
        </w:rPr>
        <w:t>条规定，依照宪法签署和批准并且已公布和生效的国际条约，是克罗地亚共和国国内法律秩序的一部分，并且具有高于成文法的法律效力。</w:t>
      </w:r>
    </w:p>
    <w:p w:rsidR="00000000" w:rsidRDefault="00000000">
      <w:pPr>
        <w:rPr>
          <w:rFonts w:hint="eastAsia"/>
        </w:rPr>
      </w:pPr>
      <w:r>
        <w:rPr>
          <w:rFonts w:hint="eastAsia"/>
        </w:rPr>
        <w:tab/>
        <w:t xml:space="preserve">46.  </w:t>
      </w:r>
      <w:r>
        <w:rPr>
          <w:rFonts w:hint="eastAsia"/>
        </w:rPr>
        <w:t>对于法规规定的任何特定权利范围小于宪法所规定者的情况，克罗地亚法律制度承认一种确保宪法和克罗地亚是其缔约国的任何国际条约规定的权利受到保护的特别方法。这是一种评估法规与宪法的一致性的程序，裁决由宪法法院作出。作为一个例子，我们可引用克罗地亚共和国宪法法院第</w:t>
      </w:r>
      <w:r>
        <w:rPr>
          <w:rFonts w:hint="eastAsia"/>
        </w:rPr>
        <w:t>U-I-20/1992</w:t>
      </w:r>
      <w:r>
        <w:rPr>
          <w:rFonts w:hint="eastAsia"/>
        </w:rPr>
        <w:t>号裁决</w:t>
      </w:r>
      <w:r>
        <w:rPr>
          <w:rFonts w:hint="eastAsia"/>
        </w:rPr>
        <w:t>(</w:t>
      </w:r>
      <w:r>
        <w:rPr>
          <w:rFonts w:hint="eastAsia"/>
        </w:rPr>
        <w:t>政府公报，</w:t>
      </w:r>
      <w:r>
        <w:rPr>
          <w:rFonts w:hint="eastAsia"/>
        </w:rPr>
        <w:t>31/98)</w:t>
      </w:r>
      <w:r>
        <w:rPr>
          <w:rFonts w:hint="eastAsia"/>
        </w:rPr>
        <w:t>，其中宪法法院在就实现依良心拒服兵役的宪法权利问题作出裁决时，提到了克罗地亚共和国宪法的规定、《国际公约》第</w:t>
      </w:r>
      <w:r>
        <w:rPr>
          <w:rFonts w:hint="eastAsia"/>
        </w:rPr>
        <w:t>18</w:t>
      </w:r>
      <w:r>
        <w:rPr>
          <w:rFonts w:hint="eastAsia"/>
        </w:rPr>
        <w:t>条以及《欧洲保护人权和基本自由公约》第</w:t>
      </w:r>
      <w:r>
        <w:rPr>
          <w:rFonts w:hint="eastAsia"/>
        </w:rPr>
        <w:t>9</w:t>
      </w:r>
      <w:r>
        <w:rPr>
          <w:rFonts w:hint="eastAsia"/>
        </w:rPr>
        <w:t>条。宪法法院在就权利如何受法律制约的问题作出裁决时，裁定权利是按照克罗地亚是其缔约国的国际条约规定的方式受制约。</w:t>
      </w:r>
    </w:p>
    <w:p w:rsidR="00000000" w:rsidRDefault="00000000">
      <w:pPr>
        <w:spacing w:after="320"/>
        <w:rPr>
          <w:rFonts w:hint="eastAsia"/>
        </w:rPr>
      </w:pPr>
      <w:r>
        <w:rPr>
          <w:rFonts w:hint="eastAsia"/>
        </w:rPr>
        <w:tab/>
        <w:t xml:space="preserve">47.  </w:t>
      </w:r>
      <w:r>
        <w:rPr>
          <w:rFonts w:hint="eastAsia"/>
        </w:rPr>
        <w:t>通过适用宪法第</w:t>
      </w:r>
      <w:r>
        <w:rPr>
          <w:rFonts w:hint="eastAsia"/>
        </w:rPr>
        <w:t>134</w:t>
      </w:r>
      <w:r>
        <w:rPr>
          <w:rFonts w:hint="eastAsia"/>
        </w:rPr>
        <w:t>条的规定，克罗地亚共和国直接适用了《公约》这一条第</w:t>
      </w:r>
      <w:r>
        <w:rPr>
          <w:rFonts w:hint="eastAsia"/>
        </w:rPr>
        <w:t>2</w:t>
      </w:r>
      <w:r>
        <w:rPr>
          <w:rFonts w:hint="eastAsia"/>
        </w:rPr>
        <w:t>款的规定，该款确定《公约》与规定了同等或范围更广的权利保护的其他法律和公约的关系。</w:t>
      </w:r>
    </w:p>
    <w:p w:rsidR="00000000" w:rsidRDefault="00000000">
      <w:pPr>
        <w:pStyle w:val="Heading3"/>
        <w:rPr>
          <w:rFonts w:hint="eastAsia"/>
        </w:rPr>
      </w:pPr>
      <w:r>
        <w:rPr>
          <w:rFonts w:hint="eastAsia"/>
        </w:rPr>
        <w:t>第</w:t>
      </w:r>
      <w:r>
        <w:rPr>
          <w:rFonts w:hint="eastAsia"/>
        </w:rPr>
        <w:t xml:space="preserve"> 6 </w:t>
      </w:r>
      <w:r>
        <w:rPr>
          <w:rFonts w:hint="eastAsia"/>
        </w:rPr>
        <w:t>条</w:t>
      </w:r>
    </w:p>
    <w:p w:rsidR="00000000" w:rsidRDefault="00000000">
      <w:pPr>
        <w:rPr>
          <w:rFonts w:hint="eastAsia"/>
        </w:rPr>
      </w:pPr>
      <w:r>
        <w:rPr>
          <w:rFonts w:hint="eastAsia"/>
        </w:rPr>
        <w:tab/>
        <w:t xml:space="preserve">48.  </w:t>
      </w:r>
      <w:r>
        <w:rPr>
          <w:rFonts w:hint="eastAsia"/>
        </w:rPr>
        <w:t>由于克罗地亚共和国是国际劳工组织《</w:t>
      </w:r>
      <w:r>
        <w:rPr>
          <w:rFonts w:hint="eastAsia"/>
        </w:rPr>
        <w:t>1964</w:t>
      </w:r>
      <w:r>
        <w:rPr>
          <w:rFonts w:hint="eastAsia"/>
        </w:rPr>
        <w:t>年就业政策公约》</w:t>
      </w:r>
      <w:r>
        <w:rPr>
          <w:rFonts w:hint="eastAsia"/>
        </w:rPr>
        <w:t>(</w:t>
      </w:r>
      <w:r>
        <w:rPr>
          <w:rFonts w:hint="eastAsia"/>
        </w:rPr>
        <w:t>第</w:t>
      </w:r>
      <w:r>
        <w:rPr>
          <w:rFonts w:hint="eastAsia"/>
        </w:rPr>
        <w:t>122</w:t>
      </w:r>
      <w:r>
        <w:rPr>
          <w:rFonts w:hint="eastAsia"/>
        </w:rPr>
        <w:t>号</w:t>
      </w:r>
      <w:r>
        <w:rPr>
          <w:rFonts w:hint="eastAsia"/>
        </w:rPr>
        <w:t>)</w:t>
      </w:r>
      <w:r>
        <w:rPr>
          <w:rFonts w:hint="eastAsia"/>
        </w:rPr>
        <w:t>和《</w:t>
      </w:r>
      <w:r>
        <w:rPr>
          <w:rFonts w:hint="eastAsia"/>
        </w:rPr>
        <w:t>1958</w:t>
      </w:r>
      <w:r>
        <w:rPr>
          <w:rFonts w:hint="eastAsia"/>
        </w:rPr>
        <w:t>年歧视</w:t>
      </w:r>
      <w:r>
        <w:rPr>
          <w:rFonts w:hint="eastAsia"/>
        </w:rPr>
        <w:t>(</w:t>
      </w:r>
      <w:r>
        <w:rPr>
          <w:rFonts w:hint="eastAsia"/>
        </w:rPr>
        <w:t>就业和职业</w:t>
      </w:r>
      <w:r>
        <w:rPr>
          <w:rFonts w:hint="eastAsia"/>
        </w:rPr>
        <w:t>)</w:t>
      </w:r>
      <w:r>
        <w:rPr>
          <w:rFonts w:hint="eastAsia"/>
        </w:rPr>
        <w:t>公约》</w:t>
      </w:r>
      <w:r>
        <w:rPr>
          <w:rFonts w:hint="eastAsia"/>
        </w:rPr>
        <w:t>(</w:t>
      </w:r>
      <w:r>
        <w:rPr>
          <w:rFonts w:hint="eastAsia"/>
        </w:rPr>
        <w:t>第</w:t>
      </w:r>
      <w:r>
        <w:rPr>
          <w:rFonts w:hint="eastAsia"/>
        </w:rPr>
        <w:t>111</w:t>
      </w:r>
      <w:r>
        <w:rPr>
          <w:rFonts w:hint="eastAsia"/>
        </w:rPr>
        <w:t>号</w:t>
      </w:r>
      <w:r>
        <w:rPr>
          <w:rFonts w:hint="eastAsia"/>
        </w:rPr>
        <w:t>)</w:t>
      </w:r>
      <w:r>
        <w:rPr>
          <w:rFonts w:hint="eastAsia"/>
        </w:rPr>
        <w:t>以及《消除对妇女一切形式歧视公约》和《消除一切形式种族歧视国际公约》的缔约国，已向有关机构提交了有关这些条约实施情况的报告，我们谨提请注意这些报告中有关《公约》第</w:t>
      </w:r>
      <w:r>
        <w:rPr>
          <w:rFonts w:hint="eastAsia"/>
        </w:rPr>
        <w:t>6</w:t>
      </w:r>
      <w:r>
        <w:rPr>
          <w:rFonts w:hint="eastAsia"/>
        </w:rPr>
        <w:t>条所规定的权利的内容。</w:t>
      </w:r>
    </w:p>
    <w:p w:rsidR="00000000" w:rsidRDefault="00000000">
      <w:pPr>
        <w:rPr>
          <w:rFonts w:hint="eastAsia"/>
        </w:rPr>
      </w:pPr>
      <w:r>
        <w:rPr>
          <w:rFonts w:hint="eastAsia"/>
        </w:rPr>
        <w:tab/>
        <w:t xml:space="preserve">49.  </w:t>
      </w:r>
      <w:r>
        <w:rPr>
          <w:rFonts w:hint="eastAsia"/>
        </w:rPr>
        <w:t>克罗地亚共和国宪法禁止强迫和强制劳动。宪法第</w:t>
      </w:r>
      <w:r>
        <w:rPr>
          <w:rFonts w:hint="eastAsia"/>
        </w:rPr>
        <w:t>45</w:t>
      </w:r>
      <w:r>
        <w:rPr>
          <w:rFonts w:hint="eastAsia"/>
        </w:rPr>
        <w:t>条规定从有工作权利和工作自由权利。每个人自由选择其行业和工作，所有职业和职务都按同等条件对所有人开放。每个受雇者有权得到能确保其本人和家人过自由和尊严生活的工资</w:t>
      </w:r>
      <w:r>
        <w:rPr>
          <w:rFonts w:hint="eastAsia"/>
        </w:rPr>
        <w:t>(</w:t>
      </w:r>
      <w:r>
        <w:rPr>
          <w:rFonts w:hint="eastAsia"/>
        </w:rPr>
        <w:t>第</w:t>
      </w:r>
      <w:r>
        <w:rPr>
          <w:rFonts w:hint="eastAsia"/>
        </w:rPr>
        <w:t>55</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50.  </w:t>
      </w:r>
      <w:r>
        <w:rPr>
          <w:rFonts w:hint="eastAsia"/>
        </w:rPr>
        <w:t>依照宪法第</w:t>
      </w:r>
      <w:r>
        <w:rPr>
          <w:rFonts w:hint="eastAsia"/>
        </w:rPr>
        <w:t>14</w:t>
      </w:r>
      <w:r>
        <w:rPr>
          <w:rFonts w:hint="eastAsia"/>
        </w:rPr>
        <w:t>条的规定，克罗地亚共和国公民不论其种族、肤色、性别、语言、宗教、政治或其他见解、族裔或社会出身、财产、出生、教育、社会地位或其他身份为何都享有一切权利和自由；依照宪法第</w:t>
      </w:r>
      <w:r>
        <w:rPr>
          <w:rFonts w:hint="eastAsia"/>
        </w:rPr>
        <w:t>54</w:t>
      </w:r>
      <w:r>
        <w:rPr>
          <w:rFonts w:hint="eastAsia"/>
        </w:rPr>
        <w:t>条的规定，《劳工法》第</w:t>
      </w:r>
      <w:r>
        <w:rPr>
          <w:rFonts w:hint="eastAsia"/>
        </w:rPr>
        <w:t>2</w:t>
      </w:r>
      <w:r>
        <w:rPr>
          <w:rFonts w:hint="eastAsia"/>
        </w:rPr>
        <w:t>条具体地禁止对寻求工作的人和对受雇的人进行任何基于种族、肤色、性别、婚姻状况、受赡养者、年龄、语言、宗教、政治或其他见解、资产、出生、社会地位、政党党员或非党员、工会会员或非会员、身体和心理残障的歧视。</w:t>
      </w:r>
    </w:p>
    <w:p w:rsidR="00000000" w:rsidRDefault="00000000">
      <w:pPr>
        <w:rPr>
          <w:rFonts w:hint="eastAsia"/>
        </w:rPr>
      </w:pPr>
      <w:r>
        <w:rPr>
          <w:rFonts w:hint="eastAsia"/>
        </w:rPr>
        <w:tab/>
        <w:t xml:space="preserve">51.  </w:t>
      </w:r>
      <w:r>
        <w:rPr>
          <w:rFonts w:hint="eastAsia"/>
        </w:rPr>
        <w:t>我们在关于《公约》第</w:t>
      </w:r>
      <w:r>
        <w:rPr>
          <w:rFonts w:hint="eastAsia"/>
        </w:rPr>
        <w:t>13</w:t>
      </w:r>
      <w:r>
        <w:rPr>
          <w:rFonts w:hint="eastAsia"/>
        </w:rPr>
        <w:t>条的报告中报导了克罗地亚共和国的整个教育制度。</w:t>
      </w:r>
    </w:p>
    <w:p w:rsidR="00000000" w:rsidRDefault="00000000">
      <w:pPr>
        <w:rPr>
          <w:rFonts w:hint="eastAsia"/>
        </w:rPr>
      </w:pPr>
      <w:r>
        <w:rPr>
          <w:rFonts w:hint="eastAsia"/>
        </w:rPr>
        <w:tab/>
        <w:t xml:space="preserve">52.  </w:t>
      </w:r>
      <w:r>
        <w:rPr>
          <w:rFonts w:hint="eastAsia"/>
        </w:rPr>
        <w:t>从学校人口的培养和教育观点出发，职业介绍厅在选择职业方面发挥某种咨询作用，它考虑到顾客的兴趣和能力，同时不忽视地区或全面经济的需要。职业介绍厅进行的教育活动</w:t>
      </w:r>
      <w:r>
        <w:rPr>
          <w:rFonts w:hint="eastAsia"/>
        </w:rPr>
        <w:t>(</w:t>
      </w:r>
      <w:r>
        <w:rPr>
          <w:rFonts w:hint="eastAsia"/>
        </w:rPr>
        <w:t>专业资格、再培训和进一步培训</w:t>
      </w:r>
      <w:r>
        <w:rPr>
          <w:rFonts w:hint="eastAsia"/>
        </w:rPr>
        <w:t>)</w:t>
      </w:r>
      <w:r>
        <w:rPr>
          <w:rFonts w:hint="eastAsia"/>
        </w:rPr>
        <w:t>只有在雇员和雇主都有兴趣的情况下才进行。职业介绍厅开展和共同资助的教育和培训活动是为已知或未知的雇主对失业的人进行的。该厅还对已经就业的人进行培训活动，如果这些人的雇主因他们的教育和资格水平而宣布他们永远是多余的。</w:t>
      </w:r>
    </w:p>
    <w:p w:rsidR="00000000" w:rsidRDefault="00000000">
      <w:pPr>
        <w:rPr>
          <w:rFonts w:hint="eastAsia"/>
        </w:rPr>
      </w:pPr>
      <w:r>
        <w:rPr>
          <w:rFonts w:hint="eastAsia"/>
        </w:rPr>
        <w:tab/>
        <w:t xml:space="preserve">53.  </w:t>
      </w:r>
      <w:r>
        <w:rPr>
          <w:rFonts w:hint="eastAsia"/>
        </w:rPr>
        <w:t>专业定向、就业指导工作、专业选择、与就业有关的培训和专业恢复足以《就业法》、特别是第</w:t>
      </w:r>
      <w:r>
        <w:rPr>
          <w:rFonts w:hint="eastAsia"/>
        </w:rPr>
        <w:t>1</w:t>
      </w:r>
      <w:r>
        <w:rPr>
          <w:rFonts w:hint="eastAsia"/>
        </w:rPr>
        <w:t>、</w:t>
      </w:r>
      <w:r>
        <w:rPr>
          <w:rFonts w:hint="eastAsia"/>
        </w:rPr>
        <w:t>5</w:t>
      </w:r>
      <w:r>
        <w:rPr>
          <w:rFonts w:hint="eastAsia"/>
        </w:rPr>
        <w:t>、</w:t>
      </w:r>
      <w:r>
        <w:rPr>
          <w:rFonts w:hint="eastAsia"/>
        </w:rPr>
        <w:t>6</w:t>
      </w:r>
      <w:r>
        <w:rPr>
          <w:rFonts w:hint="eastAsia"/>
        </w:rPr>
        <w:t>、</w:t>
      </w:r>
      <w:r>
        <w:rPr>
          <w:rFonts w:hint="eastAsia"/>
        </w:rPr>
        <w:t>8</w:t>
      </w:r>
      <w:r>
        <w:rPr>
          <w:rFonts w:hint="eastAsia"/>
        </w:rPr>
        <w:t>和</w:t>
      </w:r>
      <w:r>
        <w:rPr>
          <w:rFonts w:hint="eastAsia"/>
        </w:rPr>
        <w:t>9</w:t>
      </w:r>
      <w:r>
        <w:rPr>
          <w:rFonts w:hint="eastAsia"/>
        </w:rPr>
        <w:t>条为基础的。第</w:t>
      </w:r>
      <w:r>
        <w:rPr>
          <w:rFonts w:hint="eastAsia"/>
        </w:rPr>
        <w:t>10</w:t>
      </w:r>
      <w:r>
        <w:rPr>
          <w:rFonts w:hint="eastAsia"/>
        </w:rPr>
        <w:t>和</w:t>
      </w:r>
      <w:r>
        <w:rPr>
          <w:rFonts w:hint="eastAsia"/>
        </w:rPr>
        <w:t>11</w:t>
      </w:r>
      <w:r>
        <w:rPr>
          <w:rFonts w:hint="eastAsia"/>
        </w:rPr>
        <w:t>条特别规定职业介绍厅的工作对于失业者和求职者及雇主都是公正的，并且其中介和咨询服务是免费的。</w:t>
      </w:r>
    </w:p>
    <w:p w:rsidR="00000000" w:rsidRDefault="00000000">
      <w:pPr>
        <w:rPr>
          <w:rFonts w:hint="eastAsia"/>
        </w:rPr>
      </w:pPr>
      <w:r>
        <w:rPr>
          <w:rFonts w:hint="eastAsia"/>
        </w:rPr>
        <w:tab/>
        <w:t xml:space="preserve">54.  </w:t>
      </w:r>
      <w:r>
        <w:rPr>
          <w:rFonts w:hint="eastAsia"/>
        </w:rPr>
        <w:t>个人的专业定向只是咨询性的</w:t>
      </w:r>
      <w:r>
        <w:rPr>
          <w:rFonts w:hint="eastAsia"/>
          <w:spacing w:val="-40"/>
          <w:sz w:val="22"/>
        </w:rPr>
        <w:t>——</w:t>
      </w:r>
      <w:r>
        <w:rPr>
          <w:sz w:val="22"/>
        </w:rPr>
        <w:t xml:space="preserve"> </w:t>
      </w:r>
      <w:r>
        <w:rPr>
          <w:rFonts w:hint="eastAsia"/>
        </w:rPr>
        <w:t>免费而且是非强制性的。专业选择是应雇主的要求进行的，但作出的决定对雇主并无约束力。在两种情况下，咨询意见是根据候选人的专业兴趣和志愿提出的，同时考虑到他们的能力和其他对培训和工作很重要的品质、技术知识和技能、和可能有的任何医疗问题。</w:t>
      </w:r>
    </w:p>
    <w:p w:rsidR="00000000" w:rsidRDefault="00000000">
      <w:pPr>
        <w:rPr>
          <w:rFonts w:hint="eastAsia"/>
        </w:rPr>
      </w:pPr>
      <w:r>
        <w:rPr>
          <w:rFonts w:hint="eastAsia"/>
        </w:rPr>
        <w:tab/>
        <w:t xml:space="preserve">55.  </w:t>
      </w:r>
      <w:r>
        <w:rPr>
          <w:rFonts w:hint="eastAsia"/>
        </w:rPr>
        <w:t>种族、肤色、宗教、国籍、社会地位和资产状况决不影响咨询援助。性别只有在某些职业和工作的咨询中才是被考虑的因素，而且只有在职业的工作条件因生理和健康原因不适合某一性别的人时才被考虑。同样地，候选人的健康状况只有在职业</w:t>
      </w:r>
      <w:r>
        <w:rPr>
          <w:rFonts w:hint="eastAsia"/>
        </w:rPr>
        <w:t>(</w:t>
      </w:r>
      <w:r>
        <w:rPr>
          <w:rFonts w:hint="eastAsia"/>
        </w:rPr>
        <w:t>或工作或工作条件</w:t>
      </w:r>
      <w:r>
        <w:rPr>
          <w:rFonts w:hint="eastAsia"/>
        </w:rPr>
        <w:t>)</w:t>
      </w:r>
      <w:r>
        <w:rPr>
          <w:rFonts w:hint="eastAsia"/>
        </w:rPr>
        <w:t>不利于他或她的健康时才被考虑。</w:t>
      </w:r>
    </w:p>
    <w:p w:rsidR="00000000" w:rsidRDefault="00000000">
      <w:pPr>
        <w:rPr>
          <w:rFonts w:hint="eastAsia"/>
        </w:rPr>
      </w:pPr>
      <w:r>
        <w:rPr>
          <w:rFonts w:hint="eastAsia"/>
        </w:rPr>
        <w:tab/>
        <w:t xml:space="preserve">56.  </w:t>
      </w:r>
      <w:r>
        <w:rPr>
          <w:rFonts w:hint="eastAsia"/>
        </w:rPr>
        <w:t>我们也应当提一下专业定向和选择工作是由医生、教师和教员</w:t>
      </w:r>
      <w:r>
        <w:rPr>
          <w:rFonts w:hint="eastAsia"/>
        </w:rPr>
        <w:t>(</w:t>
      </w:r>
      <w:r>
        <w:rPr>
          <w:rFonts w:hint="eastAsia"/>
        </w:rPr>
        <w:t>复原问题和特别教师</w:t>
      </w:r>
      <w:r>
        <w:rPr>
          <w:rFonts w:hint="eastAsia"/>
        </w:rPr>
        <w:t>)</w:t>
      </w:r>
      <w:r>
        <w:rPr>
          <w:rFonts w:hint="eastAsia"/>
        </w:rPr>
        <w:t>进行的，他们的工作受其专业的行为守则约束。这些道德守则本身就防止任何不公平的做法或排他性。</w:t>
      </w:r>
    </w:p>
    <w:p w:rsidR="00000000" w:rsidRDefault="00000000">
      <w:pPr>
        <w:rPr>
          <w:rFonts w:hint="eastAsia"/>
        </w:rPr>
      </w:pPr>
      <w:r>
        <w:rPr>
          <w:rFonts w:hint="eastAsia"/>
        </w:rPr>
        <w:tab/>
        <w:t xml:space="preserve">57.  </w:t>
      </w:r>
      <w:r>
        <w:rPr>
          <w:rFonts w:hint="eastAsia"/>
        </w:rPr>
        <w:t>克罗地亚自</w:t>
      </w:r>
      <w:r>
        <w:rPr>
          <w:rFonts w:hint="eastAsia"/>
        </w:rPr>
        <w:t>1988</w:t>
      </w:r>
      <w:r>
        <w:rPr>
          <w:rFonts w:hint="eastAsia"/>
        </w:rPr>
        <w:t>年以来总的就业率一直是下降的趋势。就业率下降最多的一年是</w:t>
      </w:r>
      <w:r>
        <w:rPr>
          <w:rFonts w:hint="eastAsia"/>
        </w:rPr>
        <w:t>1992</w:t>
      </w:r>
      <w:r>
        <w:rPr>
          <w:rFonts w:hint="eastAsia"/>
        </w:rPr>
        <w:t>年</w:t>
      </w:r>
      <w:r>
        <w:rPr>
          <w:rFonts w:hint="eastAsia"/>
        </w:rPr>
        <w:t>(13%)</w:t>
      </w:r>
      <w:r>
        <w:rPr>
          <w:rFonts w:hint="eastAsia"/>
        </w:rPr>
        <w:t>，在其后几年就业率下降的趋势缓和了很多</w:t>
      </w:r>
      <w:r>
        <w:rPr>
          <w:rFonts w:hint="eastAsia"/>
        </w:rPr>
        <w:t>(</w:t>
      </w:r>
      <w:r>
        <w:rPr>
          <w:rFonts w:hint="eastAsia"/>
        </w:rPr>
        <w:t>平均每年</w:t>
      </w:r>
      <w:r>
        <w:rPr>
          <w:rFonts w:hint="eastAsia"/>
        </w:rPr>
        <w:t>2.4%)</w:t>
      </w:r>
      <w:r>
        <w:rPr>
          <w:rFonts w:hint="eastAsia"/>
        </w:rPr>
        <w:t>。根据国家统计局提供的最新数据，在</w:t>
      </w:r>
      <w:r>
        <w:rPr>
          <w:rFonts w:hint="eastAsia"/>
        </w:rPr>
        <w:t>1999</w:t>
      </w:r>
      <w:r>
        <w:rPr>
          <w:rFonts w:hint="eastAsia"/>
        </w:rPr>
        <w:t>年</w:t>
      </w:r>
      <w:r>
        <w:rPr>
          <w:rFonts w:hint="eastAsia"/>
        </w:rPr>
        <w:t>8</w:t>
      </w:r>
      <w:r>
        <w:rPr>
          <w:rFonts w:hint="eastAsia"/>
        </w:rPr>
        <w:t>月克罗地亚的就业人数为</w:t>
      </w:r>
      <w:r>
        <w:rPr>
          <w:rFonts w:hint="eastAsia"/>
        </w:rPr>
        <w:t>1,345,000</w:t>
      </w:r>
      <w:r>
        <w:rPr>
          <w:rFonts w:hint="eastAsia"/>
        </w:rPr>
        <w:t>。其中</w:t>
      </w:r>
      <w:r>
        <w:rPr>
          <w:rFonts w:hint="eastAsia"/>
        </w:rPr>
        <w:t>1,034,000</w:t>
      </w:r>
      <w:r>
        <w:rPr>
          <w:rFonts w:hint="eastAsia"/>
        </w:rPr>
        <w:t>人，或</w:t>
      </w:r>
      <w:r>
        <w:rPr>
          <w:rFonts w:hint="eastAsia"/>
        </w:rPr>
        <w:t>76.86%</w:t>
      </w:r>
      <w:r>
        <w:rPr>
          <w:rFonts w:hint="eastAsia"/>
        </w:rPr>
        <w:t>受雇于政府机构、公私合营机构或私营机构，</w:t>
      </w:r>
      <w:r>
        <w:rPr>
          <w:rFonts w:hint="eastAsia"/>
        </w:rPr>
        <w:t>212,600</w:t>
      </w:r>
      <w:r>
        <w:rPr>
          <w:rFonts w:hint="eastAsia"/>
        </w:rPr>
        <w:t>人，或</w:t>
      </w:r>
      <w:r>
        <w:rPr>
          <w:rFonts w:hint="eastAsia"/>
        </w:rPr>
        <w:t>15.80%</w:t>
      </w:r>
      <w:r>
        <w:rPr>
          <w:rFonts w:hint="eastAsia"/>
        </w:rPr>
        <w:t>是自我雇用或自由职业者，</w:t>
      </w:r>
      <w:r>
        <w:rPr>
          <w:rFonts w:hint="eastAsia"/>
        </w:rPr>
        <w:t>99,000</w:t>
      </w:r>
      <w:r>
        <w:rPr>
          <w:rFonts w:hint="eastAsia"/>
        </w:rPr>
        <w:t>人或</w:t>
      </w:r>
      <w:r>
        <w:rPr>
          <w:rFonts w:hint="eastAsia"/>
        </w:rPr>
        <w:t>7.36%</w:t>
      </w:r>
      <w:r>
        <w:rPr>
          <w:rFonts w:hint="eastAsia"/>
        </w:rPr>
        <w:t>受雇于小型农场。</w:t>
      </w:r>
    </w:p>
    <w:p w:rsidR="00000000" w:rsidRDefault="00000000">
      <w:pPr>
        <w:rPr>
          <w:rFonts w:hint="eastAsia"/>
        </w:rPr>
      </w:pPr>
      <w:r>
        <w:rPr>
          <w:rFonts w:hint="eastAsia"/>
        </w:rPr>
        <w:tab/>
        <w:t xml:space="preserve">58.  </w:t>
      </w:r>
      <w:r>
        <w:rPr>
          <w:rFonts w:hint="eastAsia"/>
        </w:rPr>
        <w:t>与</w:t>
      </w:r>
      <w:r>
        <w:rPr>
          <w:rFonts w:hint="eastAsia"/>
        </w:rPr>
        <w:t>1989</w:t>
      </w:r>
      <w:r>
        <w:rPr>
          <w:rFonts w:hint="eastAsia"/>
        </w:rPr>
        <w:t>年和</w:t>
      </w:r>
      <w:r>
        <w:rPr>
          <w:rFonts w:hint="eastAsia"/>
        </w:rPr>
        <w:t>1994</w:t>
      </w:r>
      <w:r>
        <w:rPr>
          <w:rFonts w:hint="eastAsia"/>
        </w:rPr>
        <w:t>年的就业情况相比，就业总人数分别下降了</w:t>
      </w:r>
      <w:r>
        <w:rPr>
          <w:rFonts w:hint="eastAsia"/>
        </w:rPr>
        <w:t>26.7%</w:t>
      </w:r>
      <w:r>
        <w:rPr>
          <w:rFonts w:hint="eastAsia"/>
        </w:rPr>
        <w:t>和</w:t>
      </w:r>
      <w:r>
        <w:rPr>
          <w:rFonts w:hint="eastAsia"/>
        </w:rPr>
        <w:t>6.4%</w:t>
      </w:r>
      <w:r>
        <w:rPr>
          <w:rFonts w:hint="eastAsia"/>
        </w:rPr>
        <w:t>。这些较高水平的就业人数下降</w:t>
      </w:r>
      <w:r>
        <w:rPr>
          <w:rFonts w:hint="eastAsia"/>
        </w:rPr>
        <w:t>(</w:t>
      </w:r>
      <w:r>
        <w:rPr>
          <w:rFonts w:hint="eastAsia"/>
        </w:rPr>
        <w:t>特别是与</w:t>
      </w:r>
      <w:r>
        <w:rPr>
          <w:rFonts w:hint="eastAsia"/>
        </w:rPr>
        <w:t>1989</w:t>
      </w:r>
      <w:r>
        <w:rPr>
          <w:rFonts w:hint="eastAsia"/>
        </w:rPr>
        <w:t>年相比</w:t>
      </w:r>
      <w:r>
        <w:rPr>
          <w:rFonts w:hint="eastAsia"/>
        </w:rPr>
        <w:t>)</w:t>
      </w:r>
      <w:r>
        <w:rPr>
          <w:rFonts w:hint="eastAsia"/>
        </w:rPr>
        <w:t>原因是原公营部门的公司和机构因改组并转向市场经济而减少了雇用的人员数目。与</w:t>
      </w:r>
      <w:r>
        <w:rPr>
          <w:rFonts w:hint="eastAsia"/>
        </w:rPr>
        <w:t>1989</w:t>
      </w:r>
      <w:r>
        <w:rPr>
          <w:rFonts w:hint="eastAsia"/>
        </w:rPr>
        <w:t>年相比，这一部分克罗地亚经济的就业人数减少了</w:t>
      </w:r>
      <w:r>
        <w:rPr>
          <w:rFonts w:hint="eastAsia"/>
        </w:rPr>
        <w:t>34.0%</w:t>
      </w:r>
      <w:r>
        <w:rPr>
          <w:rFonts w:hint="eastAsia"/>
        </w:rPr>
        <w:t>，与</w:t>
      </w:r>
      <w:r>
        <w:rPr>
          <w:rFonts w:hint="eastAsia"/>
        </w:rPr>
        <w:t>1994</w:t>
      </w:r>
      <w:r>
        <w:rPr>
          <w:rFonts w:hint="eastAsia"/>
        </w:rPr>
        <w:t>年相比则减少</w:t>
      </w:r>
      <w:r>
        <w:rPr>
          <w:rFonts w:hint="eastAsia"/>
        </w:rPr>
        <w:t>8.0%</w:t>
      </w:r>
      <w:r>
        <w:rPr>
          <w:rFonts w:hint="eastAsia"/>
        </w:rPr>
        <w:t>。应当指出，</w:t>
      </w:r>
      <w:r>
        <w:rPr>
          <w:rFonts w:hint="eastAsia"/>
        </w:rPr>
        <w:t>1999</w:t>
      </w:r>
      <w:r>
        <w:rPr>
          <w:rFonts w:hint="eastAsia"/>
        </w:rPr>
        <w:t>年的官方统计数字包括警察和军队雇用的所有人员，先前年份的数字不包括这些人员。</w:t>
      </w:r>
    </w:p>
    <w:p w:rsidR="00000000" w:rsidRDefault="00000000">
      <w:pPr>
        <w:rPr>
          <w:rFonts w:hint="eastAsia"/>
        </w:rPr>
      </w:pPr>
      <w:r>
        <w:rPr>
          <w:rFonts w:hint="eastAsia"/>
        </w:rPr>
        <w:tab/>
        <w:t xml:space="preserve">59.  </w:t>
      </w:r>
      <w:r>
        <w:rPr>
          <w:rFonts w:hint="eastAsia"/>
        </w:rPr>
        <w:t>同时，自我雇用者以及各行业和自由职业雇用他人者的数目增加了。与</w:t>
      </w:r>
      <w:r>
        <w:rPr>
          <w:rFonts w:hint="eastAsia"/>
        </w:rPr>
        <w:t>1989</w:t>
      </w:r>
      <w:r>
        <w:rPr>
          <w:rFonts w:hint="eastAsia"/>
        </w:rPr>
        <w:t>年相比，统计数字显示这一增加高达</w:t>
      </w:r>
      <w:r>
        <w:rPr>
          <w:rFonts w:hint="eastAsia"/>
        </w:rPr>
        <w:t>312.8%</w:t>
      </w:r>
      <w:r>
        <w:rPr>
          <w:rFonts w:hint="eastAsia"/>
        </w:rPr>
        <w:t>，但应附带一提的是</w:t>
      </w:r>
      <w:r>
        <w:rPr>
          <w:rFonts w:hint="eastAsia"/>
        </w:rPr>
        <w:t>1989</w:t>
      </w:r>
      <w:r>
        <w:rPr>
          <w:rFonts w:hint="eastAsia"/>
        </w:rPr>
        <w:t>年的数字并没有包括自我雇用者，与</w:t>
      </w:r>
      <w:r>
        <w:rPr>
          <w:rFonts w:hint="eastAsia"/>
        </w:rPr>
        <w:t>1994</w:t>
      </w:r>
      <w:r>
        <w:rPr>
          <w:rFonts w:hint="eastAsia"/>
        </w:rPr>
        <w:t>年相比这一增加为</w:t>
      </w:r>
      <w:r>
        <w:rPr>
          <w:rFonts w:hint="eastAsia"/>
        </w:rPr>
        <w:t>42.5%</w:t>
      </w:r>
      <w:r>
        <w:rPr>
          <w:rFonts w:hint="eastAsia"/>
        </w:rPr>
        <w:t>。这一部分克罗地亚经济的就业人员一直在增加，在总的就业人数中所占的份额也同时增加</w:t>
      </w:r>
      <w:r>
        <w:rPr>
          <w:rFonts w:hint="eastAsia"/>
        </w:rPr>
        <w:t>(</w:t>
      </w:r>
      <w:r>
        <w:rPr>
          <w:rFonts w:hint="eastAsia"/>
        </w:rPr>
        <w:t>从</w:t>
      </w:r>
      <w:r>
        <w:rPr>
          <w:rFonts w:hint="eastAsia"/>
        </w:rPr>
        <w:t>1989</w:t>
      </w:r>
      <w:r>
        <w:rPr>
          <w:rFonts w:hint="eastAsia"/>
        </w:rPr>
        <w:t>年的</w:t>
      </w:r>
      <w:r>
        <w:rPr>
          <w:rFonts w:hint="eastAsia"/>
        </w:rPr>
        <w:t>2.8%</w:t>
      </w:r>
      <w:r>
        <w:rPr>
          <w:rFonts w:hint="eastAsia"/>
        </w:rPr>
        <w:t>增至</w:t>
      </w:r>
      <w:r>
        <w:rPr>
          <w:rFonts w:hint="eastAsia"/>
        </w:rPr>
        <w:t>1999</w:t>
      </w:r>
      <w:r>
        <w:rPr>
          <w:rFonts w:hint="eastAsia"/>
        </w:rPr>
        <w:t>年的</w:t>
      </w:r>
      <w:r>
        <w:rPr>
          <w:rFonts w:hint="eastAsia"/>
        </w:rPr>
        <w:t>15.8%)</w:t>
      </w:r>
      <w:r>
        <w:rPr>
          <w:rFonts w:hint="eastAsia"/>
        </w:rPr>
        <w:t>，这有助于缓和克罗地亚总的就业人数下降的趋势。</w:t>
      </w:r>
    </w:p>
    <w:p w:rsidR="00000000" w:rsidRDefault="00000000">
      <w:pPr>
        <w:rPr>
          <w:rFonts w:hint="eastAsia"/>
        </w:rPr>
      </w:pPr>
      <w:r>
        <w:rPr>
          <w:rFonts w:hint="eastAsia"/>
        </w:rPr>
        <w:tab/>
        <w:t xml:space="preserve">60.  </w:t>
      </w:r>
      <w:r>
        <w:rPr>
          <w:rFonts w:hint="eastAsia"/>
        </w:rPr>
        <w:t>根据克罗地亚退休保险协会提供的数据，登记的小农人数不断地下降，在十年期间</w:t>
      </w:r>
      <w:r>
        <w:rPr>
          <w:rFonts w:hint="eastAsia"/>
        </w:rPr>
        <w:t>(1989-1999)</w:t>
      </w:r>
      <w:r>
        <w:rPr>
          <w:rFonts w:hint="eastAsia"/>
        </w:rPr>
        <w:t>下降了</w:t>
      </w:r>
      <w:r>
        <w:rPr>
          <w:rFonts w:hint="eastAsia"/>
        </w:rPr>
        <w:t>54.5%</w:t>
      </w:r>
      <w:r>
        <w:rPr>
          <w:rFonts w:hint="eastAsia"/>
        </w:rPr>
        <w:t>，在最近五年期间</w:t>
      </w:r>
      <w:r>
        <w:rPr>
          <w:rFonts w:hint="eastAsia"/>
        </w:rPr>
        <w:t>(1994-1999)</w:t>
      </w:r>
      <w:r>
        <w:rPr>
          <w:rFonts w:hint="eastAsia"/>
        </w:rPr>
        <w:t>下降了</w:t>
      </w:r>
      <w:r>
        <w:rPr>
          <w:rFonts w:hint="eastAsia"/>
        </w:rPr>
        <w:t>39.6%</w:t>
      </w:r>
      <w:r>
        <w:rPr>
          <w:rFonts w:hint="eastAsia"/>
        </w:rPr>
        <w:t>。</w:t>
      </w:r>
    </w:p>
    <w:p w:rsidR="00000000" w:rsidRDefault="00000000">
      <w:pPr>
        <w:rPr>
          <w:rFonts w:hint="eastAsia"/>
        </w:rPr>
      </w:pPr>
      <w:r>
        <w:rPr>
          <w:rFonts w:hint="eastAsia"/>
        </w:rPr>
        <w:tab/>
        <w:t xml:space="preserve">61.  </w:t>
      </w:r>
      <w:r>
        <w:rPr>
          <w:rFonts w:hint="eastAsia"/>
        </w:rPr>
        <w:t>既有行政部门提供的就业数字，自</w:t>
      </w:r>
      <w:r>
        <w:rPr>
          <w:rFonts w:hint="eastAsia"/>
        </w:rPr>
        <w:t>1996</w:t>
      </w:r>
      <w:r>
        <w:rPr>
          <w:rFonts w:hint="eastAsia"/>
        </w:rPr>
        <w:t>年以来也有按照劳工组织制定的方法进行的劳动力调查。调查结果得到的就业数字不同于行政部门提供的数字。</w:t>
      </w:r>
      <w:r>
        <w:rPr>
          <w:rFonts w:hint="eastAsia"/>
        </w:rPr>
        <w:t>1998</w:t>
      </w:r>
      <w:r>
        <w:rPr>
          <w:rFonts w:hint="eastAsia"/>
        </w:rPr>
        <w:t>年下半年进行的调查得到的最新数据显示克罗地亚的就业人数是</w:t>
      </w:r>
      <w:r>
        <w:rPr>
          <w:rFonts w:hint="eastAsia"/>
        </w:rPr>
        <w:t>1,549,000,</w:t>
      </w:r>
      <w:r>
        <w:rPr>
          <w:rFonts w:hint="eastAsia"/>
        </w:rPr>
        <w:t>与</w:t>
      </w:r>
      <w:r>
        <w:rPr>
          <w:rFonts w:hint="eastAsia"/>
        </w:rPr>
        <w:t>1996</w:t>
      </w:r>
      <w:r>
        <w:rPr>
          <w:rFonts w:hint="eastAsia"/>
        </w:rPr>
        <w:t>年第一次进行劳动力调查所得的结果相比有稍微上升的平均趋势。在就业总人数中，私营部门占</w:t>
      </w:r>
      <w:r>
        <w:rPr>
          <w:rFonts w:hint="eastAsia"/>
        </w:rPr>
        <w:t>840,000</w:t>
      </w:r>
      <w:r>
        <w:rPr>
          <w:rFonts w:hint="eastAsia"/>
        </w:rPr>
        <w:t>人或</w:t>
      </w:r>
      <w:r>
        <w:rPr>
          <w:rFonts w:hint="eastAsia"/>
        </w:rPr>
        <w:t>54.2%(</w:t>
      </w:r>
      <w:r>
        <w:rPr>
          <w:rFonts w:hint="eastAsia"/>
        </w:rPr>
        <w:t>并且在增加</w:t>
      </w:r>
      <w:r>
        <w:rPr>
          <w:rFonts w:hint="eastAsia"/>
        </w:rPr>
        <w:t>)</w:t>
      </w:r>
      <w:r>
        <w:rPr>
          <w:rFonts w:hint="eastAsia"/>
        </w:rPr>
        <w:t>，</w:t>
      </w:r>
      <w:r>
        <w:rPr>
          <w:rFonts w:hint="eastAsia"/>
        </w:rPr>
        <w:t>709,000</w:t>
      </w:r>
      <w:r>
        <w:rPr>
          <w:rFonts w:hint="eastAsia"/>
        </w:rPr>
        <w:t>人或</w:t>
      </w:r>
      <w:r>
        <w:rPr>
          <w:rFonts w:hint="eastAsia"/>
        </w:rPr>
        <w:t>45.8%</w:t>
      </w:r>
      <w:r>
        <w:rPr>
          <w:rFonts w:hint="eastAsia"/>
        </w:rPr>
        <w:t>受雇于公营部门或正在转变</w:t>
      </w:r>
      <w:r>
        <w:rPr>
          <w:rFonts w:hint="eastAsia"/>
        </w:rPr>
        <w:t>(</w:t>
      </w:r>
      <w:r>
        <w:rPr>
          <w:rFonts w:hint="eastAsia"/>
        </w:rPr>
        <w:t>私有化</w:t>
      </w:r>
      <w:r>
        <w:rPr>
          <w:rFonts w:hint="eastAsia"/>
        </w:rPr>
        <w:t>)</w:t>
      </w:r>
      <w:r>
        <w:rPr>
          <w:rFonts w:hint="eastAsia"/>
        </w:rPr>
        <w:t>的公司。</w:t>
      </w:r>
    </w:p>
    <w:p w:rsidR="00000000" w:rsidRDefault="00000000">
      <w:pPr>
        <w:spacing w:after="320"/>
        <w:rPr>
          <w:rFonts w:hint="eastAsia"/>
        </w:rPr>
      </w:pPr>
      <w:r>
        <w:rPr>
          <w:rFonts w:hint="eastAsia"/>
        </w:rPr>
        <w:tab/>
        <w:t xml:space="preserve">62.  </w:t>
      </w:r>
      <w:r>
        <w:rPr>
          <w:rFonts w:hint="eastAsia"/>
        </w:rPr>
        <w:t>在叙述克罗地亚共和国在</w:t>
      </w:r>
      <w:r>
        <w:rPr>
          <w:rFonts w:hint="eastAsia"/>
        </w:rPr>
        <w:t>1986</w:t>
      </w:r>
      <w:r>
        <w:rPr>
          <w:rFonts w:hint="eastAsia"/>
        </w:rPr>
        <w:t>年至</w:t>
      </w:r>
      <w:r>
        <w:rPr>
          <w:rFonts w:hint="eastAsia"/>
        </w:rPr>
        <w:t>1999</w:t>
      </w:r>
      <w:r>
        <w:rPr>
          <w:rFonts w:hint="eastAsia"/>
        </w:rPr>
        <w:t>年期间的就业和失业特点和趋势之前，有必要说一下失业人数的数据来源。这一资料所根据的数据来源是克罗地亚职业介绍厅的记录和国家统计局按照劳工组织的建议、方法和定义对一个户口抽样进行的劳动力调查结果。劳动力调查在</w:t>
      </w:r>
      <w:r>
        <w:rPr>
          <w:rFonts w:hint="eastAsia"/>
        </w:rPr>
        <w:t>1996</w:t>
      </w:r>
      <w:r>
        <w:rPr>
          <w:rFonts w:hint="eastAsia"/>
        </w:rPr>
        <w:t>年和</w:t>
      </w:r>
      <w:r>
        <w:rPr>
          <w:rFonts w:hint="eastAsia"/>
        </w:rPr>
        <w:t>1997</w:t>
      </w:r>
      <w:r>
        <w:rPr>
          <w:rFonts w:hint="eastAsia"/>
        </w:rPr>
        <w:t>年是一年进行一次；在</w:t>
      </w:r>
      <w:r>
        <w:rPr>
          <w:rFonts w:hint="eastAsia"/>
        </w:rPr>
        <w:t>1998</w:t>
      </w:r>
      <w:r>
        <w:rPr>
          <w:rFonts w:hint="eastAsia"/>
        </w:rPr>
        <w:t>年是不断地在进行，半年处理一次数据，一年公布两次结果，前半年和后半年的结果。根据劳动力调查的结果，</w:t>
      </w:r>
      <w:r>
        <w:rPr>
          <w:rFonts w:hint="eastAsia"/>
        </w:rPr>
        <w:t>1996</w:t>
      </w:r>
      <w:r>
        <w:rPr>
          <w:rFonts w:hint="eastAsia"/>
        </w:rPr>
        <w:t>年有</w:t>
      </w:r>
      <w:r>
        <w:rPr>
          <w:rFonts w:hint="eastAsia"/>
        </w:rPr>
        <w:t>170,234</w:t>
      </w:r>
      <w:r>
        <w:rPr>
          <w:rFonts w:hint="eastAsia"/>
        </w:rPr>
        <w:t>人失业，失业率为</w:t>
      </w:r>
      <w:r>
        <w:rPr>
          <w:rFonts w:hint="eastAsia"/>
        </w:rPr>
        <w:t>10.0%</w:t>
      </w:r>
      <w:r>
        <w:rPr>
          <w:rFonts w:hint="eastAsia"/>
        </w:rPr>
        <w:t>。同时，克罗地亚职业介绍厅记录了</w:t>
      </w:r>
      <w:r>
        <w:rPr>
          <w:rFonts w:hint="eastAsia"/>
        </w:rPr>
        <w:t>266,644</w:t>
      </w:r>
      <w:r>
        <w:rPr>
          <w:rFonts w:hint="eastAsia"/>
        </w:rPr>
        <w:t>人失业，根据这些行政部门的资料计算的登记失业率是</w:t>
      </w:r>
      <w:r>
        <w:rPr>
          <w:rFonts w:hint="eastAsia"/>
        </w:rPr>
        <w:t>15.7%</w:t>
      </w:r>
      <w:r>
        <w:rPr>
          <w:rFonts w:hint="eastAsia"/>
        </w:rPr>
        <w:t>。在</w:t>
      </w:r>
      <w:r>
        <w:rPr>
          <w:rFonts w:hint="eastAsia"/>
        </w:rPr>
        <w:t>1998</w:t>
      </w:r>
      <w:r>
        <w:rPr>
          <w:rFonts w:hint="eastAsia"/>
        </w:rPr>
        <w:t>年，调查得到的失业率是</w:t>
      </w:r>
      <w:r>
        <w:rPr>
          <w:rFonts w:hint="eastAsia"/>
        </w:rPr>
        <w:t>11.2%(</w:t>
      </w:r>
      <w:r>
        <w:rPr>
          <w:rFonts w:hint="eastAsia"/>
        </w:rPr>
        <w:t>上半年</w:t>
      </w:r>
      <w:r>
        <w:rPr>
          <w:rFonts w:hint="eastAsia"/>
        </w:rPr>
        <w:t>)</w:t>
      </w:r>
      <w:r>
        <w:rPr>
          <w:rFonts w:hint="eastAsia"/>
        </w:rPr>
        <w:t>或</w:t>
      </w:r>
      <w:r>
        <w:rPr>
          <w:rFonts w:hint="eastAsia"/>
        </w:rPr>
        <w:t>11.6%(</w:t>
      </w:r>
      <w:r>
        <w:rPr>
          <w:rFonts w:hint="eastAsia"/>
        </w:rPr>
        <w:t>下半年</w:t>
      </w:r>
      <w:r>
        <w:rPr>
          <w:rFonts w:hint="eastAsia"/>
        </w:rPr>
        <w:t>)</w:t>
      </w:r>
      <w:r>
        <w:rPr>
          <w:rFonts w:hint="eastAsia"/>
        </w:rPr>
        <w:t>，而登记的失业率则是</w:t>
      </w:r>
      <w:r>
        <w:rPr>
          <w:rFonts w:hint="eastAsia"/>
        </w:rPr>
        <w:t>17.2%(</w:t>
      </w:r>
      <w:r>
        <w:rPr>
          <w:rFonts w:hint="eastAsia"/>
        </w:rPr>
        <w:t>每月统计报告，</w:t>
      </w:r>
      <w:r>
        <w:rPr>
          <w:rFonts w:hint="eastAsia"/>
        </w:rPr>
        <w:t>1999</w:t>
      </w:r>
      <w:r>
        <w:rPr>
          <w:rFonts w:hint="eastAsia"/>
        </w:rPr>
        <w:t>年，第</w:t>
      </w:r>
      <w:r>
        <w:rPr>
          <w:rFonts w:hint="eastAsia"/>
        </w:rPr>
        <w:t>6</w:t>
      </w:r>
      <w:r>
        <w:rPr>
          <w:rFonts w:hint="eastAsia"/>
        </w:rPr>
        <w:t>号，国家统计局，萨格勒布</w:t>
      </w:r>
      <w:r>
        <w:rPr>
          <w:rFonts w:hint="eastAsia"/>
        </w:rPr>
        <w:t>)</w:t>
      </w:r>
      <w:r>
        <w:rPr>
          <w:rFonts w:hint="eastAsia"/>
        </w:rPr>
        <w:t>。</w:t>
      </w:r>
    </w:p>
    <w:p w:rsidR="00000000" w:rsidRDefault="00000000">
      <w:pPr>
        <w:pStyle w:val="Heading3"/>
        <w:rPr>
          <w:rFonts w:hint="eastAsia"/>
          <w:sz w:val="22"/>
          <w:u w:val="none"/>
        </w:rPr>
      </w:pPr>
      <w:r>
        <w:rPr>
          <w:rFonts w:hint="eastAsia"/>
          <w:sz w:val="22"/>
        </w:rPr>
        <w:t>1986</w:t>
      </w:r>
      <w:r>
        <w:rPr>
          <w:rFonts w:hint="eastAsia"/>
          <w:sz w:val="22"/>
        </w:rPr>
        <w:t>年至</w:t>
      </w:r>
      <w:r>
        <w:rPr>
          <w:rFonts w:hint="eastAsia"/>
          <w:sz w:val="22"/>
        </w:rPr>
        <w:t>1999</w:t>
      </w:r>
      <w:r>
        <w:rPr>
          <w:rFonts w:hint="eastAsia"/>
          <w:sz w:val="22"/>
        </w:rPr>
        <w:t>年的失业趋势</w:t>
      </w:r>
      <w:r>
        <w:rPr>
          <w:rFonts w:hint="eastAsia"/>
          <w:sz w:val="22"/>
          <w:u w:val="none"/>
        </w:rPr>
        <w:t>(</w:t>
      </w:r>
      <w:r>
        <w:rPr>
          <w:rFonts w:hint="eastAsia"/>
          <w:sz w:val="22"/>
          <w:u w:val="none"/>
        </w:rPr>
        <w:t>年平均</w:t>
      </w:r>
      <w:r>
        <w:rPr>
          <w:rFonts w:hint="eastAsia"/>
          <w:sz w:val="22"/>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595"/>
        <w:gridCol w:w="1595"/>
        <w:gridCol w:w="1595"/>
        <w:gridCol w:w="1595"/>
      </w:tblGrid>
      <w:tr w:rsidR="00000000">
        <w:tblPrEx>
          <w:tblCellMar>
            <w:top w:w="0" w:type="dxa"/>
            <w:bottom w:w="0" w:type="dxa"/>
          </w:tblCellMar>
        </w:tblPrEx>
        <w:tc>
          <w:tcPr>
            <w:tcW w:w="1595" w:type="dxa"/>
          </w:tcPr>
          <w:p w:rsidR="00000000" w:rsidRDefault="00000000">
            <w:pPr>
              <w:spacing w:before="200"/>
              <w:jc w:val="center"/>
              <w:rPr>
                <w:rFonts w:hint="eastAsia"/>
                <w:sz w:val="22"/>
              </w:rPr>
            </w:pPr>
            <w:r>
              <w:rPr>
                <w:rFonts w:hint="eastAsia"/>
                <w:sz w:val="22"/>
              </w:rPr>
              <w:t>年</w:t>
            </w:r>
            <w:r>
              <w:rPr>
                <w:rFonts w:hint="eastAsia"/>
                <w:sz w:val="22"/>
              </w:rPr>
              <w:t xml:space="preserve">  </w:t>
            </w:r>
            <w:r>
              <w:rPr>
                <w:rFonts w:hint="eastAsia"/>
                <w:sz w:val="22"/>
              </w:rPr>
              <w:t>份</w:t>
            </w:r>
          </w:p>
        </w:tc>
        <w:tc>
          <w:tcPr>
            <w:tcW w:w="1595" w:type="dxa"/>
          </w:tcPr>
          <w:p w:rsidR="00000000" w:rsidRDefault="00000000">
            <w:pPr>
              <w:spacing w:before="200"/>
              <w:jc w:val="center"/>
              <w:rPr>
                <w:rFonts w:hint="eastAsia"/>
                <w:sz w:val="22"/>
              </w:rPr>
            </w:pPr>
            <w:r>
              <w:rPr>
                <w:rFonts w:hint="eastAsia"/>
                <w:sz w:val="22"/>
              </w:rPr>
              <w:t>总</w:t>
            </w:r>
            <w:r>
              <w:rPr>
                <w:rFonts w:hint="eastAsia"/>
                <w:sz w:val="22"/>
              </w:rPr>
              <w:t xml:space="preserve">  </w:t>
            </w:r>
            <w:r>
              <w:rPr>
                <w:rFonts w:hint="eastAsia"/>
                <w:sz w:val="22"/>
              </w:rPr>
              <w:t>数</w:t>
            </w:r>
          </w:p>
        </w:tc>
        <w:tc>
          <w:tcPr>
            <w:tcW w:w="1595" w:type="dxa"/>
          </w:tcPr>
          <w:p w:rsidR="00000000" w:rsidRDefault="00000000">
            <w:pPr>
              <w:spacing w:before="200"/>
              <w:jc w:val="center"/>
              <w:rPr>
                <w:rFonts w:hint="eastAsia"/>
                <w:sz w:val="22"/>
              </w:rPr>
            </w:pPr>
            <w:r>
              <w:rPr>
                <w:rFonts w:hint="eastAsia"/>
                <w:sz w:val="22"/>
              </w:rPr>
              <w:t>指</w:t>
            </w:r>
            <w:r>
              <w:rPr>
                <w:rFonts w:hint="eastAsia"/>
                <w:sz w:val="22"/>
              </w:rPr>
              <w:t xml:space="preserve">  </w:t>
            </w:r>
            <w:r>
              <w:rPr>
                <w:rFonts w:hint="eastAsia"/>
                <w:sz w:val="22"/>
              </w:rPr>
              <w:t>数</w:t>
            </w:r>
          </w:p>
        </w:tc>
        <w:tc>
          <w:tcPr>
            <w:tcW w:w="1595" w:type="dxa"/>
          </w:tcPr>
          <w:p w:rsidR="00000000" w:rsidRDefault="00000000">
            <w:pPr>
              <w:spacing w:before="200"/>
              <w:jc w:val="center"/>
              <w:rPr>
                <w:rFonts w:hint="eastAsia"/>
                <w:sz w:val="22"/>
              </w:rPr>
            </w:pPr>
            <w:r>
              <w:rPr>
                <w:rFonts w:hint="eastAsia"/>
                <w:sz w:val="22"/>
              </w:rPr>
              <w:t>妇</w:t>
            </w:r>
            <w:r>
              <w:rPr>
                <w:rFonts w:hint="eastAsia"/>
                <w:sz w:val="22"/>
              </w:rPr>
              <w:t xml:space="preserve">  </w:t>
            </w:r>
            <w:r>
              <w:rPr>
                <w:rFonts w:hint="eastAsia"/>
                <w:sz w:val="22"/>
              </w:rPr>
              <w:t>女</w:t>
            </w:r>
          </w:p>
        </w:tc>
        <w:tc>
          <w:tcPr>
            <w:tcW w:w="1595" w:type="dxa"/>
          </w:tcPr>
          <w:p w:rsidR="00000000" w:rsidRDefault="00000000">
            <w:pPr>
              <w:spacing w:before="200"/>
              <w:jc w:val="center"/>
              <w:rPr>
                <w:rFonts w:hint="eastAsia"/>
                <w:sz w:val="22"/>
              </w:rPr>
            </w:pPr>
            <w:r>
              <w:rPr>
                <w:rFonts w:hint="eastAsia"/>
                <w:sz w:val="22"/>
              </w:rPr>
              <w:t>指</w:t>
            </w:r>
            <w:r>
              <w:rPr>
                <w:rFonts w:hint="eastAsia"/>
                <w:sz w:val="22"/>
              </w:rPr>
              <w:t xml:space="preserve">  </w:t>
            </w:r>
            <w:r>
              <w:rPr>
                <w:rFonts w:hint="eastAsia"/>
                <w:sz w:val="22"/>
              </w:rPr>
              <w:t>数</w:t>
            </w:r>
          </w:p>
        </w:tc>
        <w:tc>
          <w:tcPr>
            <w:tcW w:w="1595" w:type="dxa"/>
          </w:tcPr>
          <w:p w:rsidR="00000000" w:rsidRDefault="00000000">
            <w:pPr>
              <w:spacing w:before="120" w:line="240" w:lineRule="auto"/>
              <w:jc w:val="center"/>
              <w:rPr>
                <w:rFonts w:hint="eastAsia"/>
                <w:sz w:val="22"/>
              </w:rPr>
            </w:pPr>
            <w:r>
              <w:rPr>
                <w:rFonts w:hint="eastAsia"/>
                <w:sz w:val="22"/>
              </w:rPr>
              <w:t>妇女所占</w:t>
            </w:r>
            <w:r>
              <w:rPr>
                <w:sz w:val="22"/>
              </w:rPr>
              <w:br/>
            </w:r>
            <w:r>
              <w:rPr>
                <w:rFonts w:hint="eastAsia"/>
                <w:sz w:val="22"/>
              </w:rPr>
              <w:t>比例</w:t>
            </w:r>
          </w:p>
        </w:tc>
      </w:tr>
      <w:tr w:rsidR="00000000">
        <w:tblPrEx>
          <w:tblCellMar>
            <w:top w:w="0" w:type="dxa"/>
            <w:bottom w:w="0" w:type="dxa"/>
          </w:tblCellMar>
        </w:tblPrEx>
        <w:tc>
          <w:tcPr>
            <w:tcW w:w="1595" w:type="dxa"/>
          </w:tcPr>
          <w:p w:rsidR="00000000" w:rsidRDefault="00000000">
            <w:pPr>
              <w:spacing w:before="60"/>
              <w:jc w:val="center"/>
              <w:rPr>
                <w:rFonts w:hint="eastAsia"/>
                <w:sz w:val="22"/>
              </w:rPr>
            </w:pPr>
            <w:r>
              <w:rPr>
                <w:rFonts w:hint="eastAsia"/>
                <w:sz w:val="22"/>
              </w:rPr>
              <w:t>1986</w:t>
            </w:r>
          </w:p>
        </w:tc>
        <w:tc>
          <w:tcPr>
            <w:tcW w:w="1595" w:type="dxa"/>
          </w:tcPr>
          <w:p w:rsidR="00000000" w:rsidRDefault="00000000">
            <w:pPr>
              <w:spacing w:before="60"/>
              <w:ind w:right="284"/>
              <w:jc w:val="right"/>
              <w:rPr>
                <w:sz w:val="22"/>
              </w:rPr>
            </w:pPr>
            <w:r>
              <w:rPr>
                <w:rFonts w:hint="eastAsia"/>
                <w:sz w:val="22"/>
              </w:rPr>
              <w:t></w:t>
            </w:r>
            <w:r>
              <w:rPr>
                <w:sz w:val="22"/>
              </w:rPr>
              <w:t>122,711</w:t>
            </w:r>
          </w:p>
        </w:tc>
        <w:tc>
          <w:tcPr>
            <w:tcW w:w="1595" w:type="dxa"/>
          </w:tcPr>
          <w:p w:rsidR="00000000" w:rsidRDefault="00000000">
            <w:pPr>
              <w:spacing w:before="60"/>
              <w:ind w:right="340"/>
              <w:jc w:val="right"/>
              <w:rPr>
                <w:sz w:val="22"/>
              </w:rPr>
            </w:pPr>
            <w:r>
              <w:rPr>
                <w:sz w:val="22"/>
              </w:rPr>
              <w:t>100.0</w:t>
            </w:r>
          </w:p>
        </w:tc>
        <w:tc>
          <w:tcPr>
            <w:tcW w:w="1595" w:type="dxa"/>
          </w:tcPr>
          <w:p w:rsidR="00000000" w:rsidRDefault="00000000">
            <w:pPr>
              <w:spacing w:before="60"/>
              <w:ind w:right="340"/>
              <w:jc w:val="right"/>
              <w:rPr>
                <w:sz w:val="22"/>
              </w:rPr>
            </w:pPr>
            <w:r>
              <w:rPr>
                <w:sz w:val="22"/>
              </w:rPr>
              <w:t>75,170</w:t>
            </w:r>
          </w:p>
        </w:tc>
        <w:tc>
          <w:tcPr>
            <w:tcW w:w="1595" w:type="dxa"/>
          </w:tcPr>
          <w:p w:rsidR="00000000" w:rsidRDefault="00000000">
            <w:pPr>
              <w:spacing w:before="60"/>
              <w:ind w:right="340"/>
              <w:jc w:val="right"/>
              <w:rPr>
                <w:sz w:val="22"/>
              </w:rPr>
            </w:pPr>
            <w:r>
              <w:rPr>
                <w:sz w:val="22"/>
              </w:rPr>
              <w:t>100.0</w:t>
            </w:r>
          </w:p>
        </w:tc>
        <w:tc>
          <w:tcPr>
            <w:tcW w:w="1595" w:type="dxa"/>
          </w:tcPr>
          <w:p w:rsidR="00000000" w:rsidRDefault="00000000">
            <w:pPr>
              <w:spacing w:before="60"/>
              <w:jc w:val="center"/>
              <w:rPr>
                <w:sz w:val="22"/>
              </w:rPr>
            </w:pPr>
            <w:r>
              <w:rPr>
                <w:sz w:val="22"/>
              </w:rPr>
              <w:t>61.3</w:t>
            </w:r>
          </w:p>
        </w:tc>
      </w:tr>
      <w:tr w:rsidR="00000000">
        <w:tblPrEx>
          <w:tblCellMar>
            <w:top w:w="0" w:type="dxa"/>
            <w:bottom w:w="0" w:type="dxa"/>
          </w:tblCellMar>
        </w:tblPrEx>
        <w:tc>
          <w:tcPr>
            <w:tcW w:w="1595" w:type="dxa"/>
          </w:tcPr>
          <w:p w:rsidR="00000000" w:rsidRDefault="00000000">
            <w:pPr>
              <w:spacing w:before="60"/>
              <w:jc w:val="center"/>
              <w:rPr>
                <w:rFonts w:hint="eastAsia"/>
                <w:sz w:val="22"/>
              </w:rPr>
            </w:pPr>
            <w:r>
              <w:rPr>
                <w:rFonts w:hint="eastAsia"/>
                <w:sz w:val="22"/>
              </w:rPr>
              <w:t>1990</w:t>
            </w:r>
          </w:p>
        </w:tc>
        <w:tc>
          <w:tcPr>
            <w:tcW w:w="1595" w:type="dxa"/>
          </w:tcPr>
          <w:p w:rsidR="00000000" w:rsidRDefault="00000000">
            <w:pPr>
              <w:spacing w:before="60"/>
              <w:ind w:right="284"/>
              <w:jc w:val="right"/>
              <w:rPr>
                <w:sz w:val="22"/>
              </w:rPr>
            </w:pPr>
            <w:r>
              <w:rPr>
                <w:sz w:val="22"/>
              </w:rPr>
              <w:t>160,617</w:t>
            </w:r>
          </w:p>
        </w:tc>
        <w:tc>
          <w:tcPr>
            <w:tcW w:w="1595" w:type="dxa"/>
          </w:tcPr>
          <w:p w:rsidR="00000000" w:rsidRDefault="00000000">
            <w:pPr>
              <w:spacing w:before="60"/>
              <w:ind w:right="340"/>
              <w:jc w:val="right"/>
              <w:rPr>
                <w:sz w:val="22"/>
              </w:rPr>
            </w:pPr>
            <w:r>
              <w:rPr>
                <w:sz w:val="22"/>
              </w:rPr>
              <w:t>130.9</w:t>
            </w:r>
          </w:p>
        </w:tc>
        <w:tc>
          <w:tcPr>
            <w:tcW w:w="1595" w:type="dxa"/>
          </w:tcPr>
          <w:p w:rsidR="00000000" w:rsidRDefault="00000000">
            <w:pPr>
              <w:spacing w:before="60"/>
              <w:ind w:right="340"/>
              <w:jc w:val="right"/>
              <w:rPr>
                <w:sz w:val="22"/>
              </w:rPr>
            </w:pPr>
            <w:r>
              <w:rPr>
                <w:sz w:val="22"/>
              </w:rPr>
              <w:t>92,376</w:t>
            </w:r>
          </w:p>
        </w:tc>
        <w:tc>
          <w:tcPr>
            <w:tcW w:w="1595" w:type="dxa"/>
          </w:tcPr>
          <w:p w:rsidR="00000000" w:rsidRDefault="00000000">
            <w:pPr>
              <w:spacing w:before="60"/>
              <w:ind w:right="340"/>
              <w:jc w:val="right"/>
              <w:rPr>
                <w:sz w:val="22"/>
              </w:rPr>
            </w:pPr>
            <w:r>
              <w:rPr>
                <w:sz w:val="22"/>
              </w:rPr>
              <w:t>121.6</w:t>
            </w:r>
          </w:p>
        </w:tc>
        <w:tc>
          <w:tcPr>
            <w:tcW w:w="1595" w:type="dxa"/>
          </w:tcPr>
          <w:p w:rsidR="00000000" w:rsidRDefault="00000000">
            <w:pPr>
              <w:spacing w:before="60"/>
              <w:jc w:val="center"/>
              <w:rPr>
                <w:sz w:val="22"/>
              </w:rPr>
            </w:pPr>
            <w:r>
              <w:rPr>
                <w:sz w:val="22"/>
              </w:rPr>
              <w:t>56.9</w:t>
            </w:r>
          </w:p>
        </w:tc>
      </w:tr>
      <w:tr w:rsidR="00000000">
        <w:tblPrEx>
          <w:tblCellMar>
            <w:top w:w="0" w:type="dxa"/>
            <w:bottom w:w="0" w:type="dxa"/>
          </w:tblCellMar>
        </w:tblPrEx>
        <w:tc>
          <w:tcPr>
            <w:tcW w:w="1595" w:type="dxa"/>
          </w:tcPr>
          <w:p w:rsidR="00000000" w:rsidRDefault="00000000">
            <w:pPr>
              <w:spacing w:before="60"/>
              <w:jc w:val="center"/>
              <w:rPr>
                <w:rFonts w:hint="eastAsia"/>
                <w:sz w:val="22"/>
              </w:rPr>
            </w:pPr>
            <w:r>
              <w:rPr>
                <w:rFonts w:hint="eastAsia"/>
                <w:sz w:val="22"/>
              </w:rPr>
              <w:t>1995</w:t>
            </w:r>
          </w:p>
        </w:tc>
        <w:tc>
          <w:tcPr>
            <w:tcW w:w="1595" w:type="dxa"/>
          </w:tcPr>
          <w:p w:rsidR="00000000" w:rsidRDefault="00000000">
            <w:pPr>
              <w:spacing w:before="60"/>
              <w:ind w:right="284"/>
              <w:jc w:val="right"/>
              <w:rPr>
                <w:sz w:val="22"/>
              </w:rPr>
            </w:pPr>
            <w:r>
              <w:rPr>
                <w:sz w:val="22"/>
              </w:rPr>
              <w:t>240,601</w:t>
            </w:r>
          </w:p>
        </w:tc>
        <w:tc>
          <w:tcPr>
            <w:tcW w:w="1595" w:type="dxa"/>
          </w:tcPr>
          <w:p w:rsidR="00000000" w:rsidRDefault="00000000">
            <w:pPr>
              <w:spacing w:before="60"/>
              <w:ind w:right="340"/>
              <w:jc w:val="right"/>
              <w:rPr>
                <w:sz w:val="22"/>
              </w:rPr>
            </w:pPr>
            <w:r>
              <w:rPr>
                <w:sz w:val="22"/>
              </w:rPr>
              <w:t>196.1</w:t>
            </w:r>
          </w:p>
        </w:tc>
        <w:tc>
          <w:tcPr>
            <w:tcW w:w="1595" w:type="dxa"/>
          </w:tcPr>
          <w:p w:rsidR="00000000" w:rsidRDefault="00000000">
            <w:pPr>
              <w:spacing w:before="60"/>
              <w:ind w:right="340"/>
              <w:jc w:val="right"/>
              <w:rPr>
                <w:sz w:val="22"/>
              </w:rPr>
            </w:pPr>
            <w:r>
              <w:rPr>
                <w:sz w:val="22"/>
              </w:rPr>
              <w:t>124,232</w:t>
            </w:r>
          </w:p>
        </w:tc>
        <w:tc>
          <w:tcPr>
            <w:tcW w:w="1595" w:type="dxa"/>
          </w:tcPr>
          <w:p w:rsidR="00000000" w:rsidRDefault="00000000">
            <w:pPr>
              <w:spacing w:before="60"/>
              <w:ind w:right="340"/>
              <w:jc w:val="right"/>
              <w:rPr>
                <w:sz w:val="22"/>
              </w:rPr>
            </w:pPr>
            <w:r>
              <w:rPr>
                <w:sz w:val="22"/>
              </w:rPr>
              <w:t>165.3</w:t>
            </w:r>
          </w:p>
        </w:tc>
        <w:tc>
          <w:tcPr>
            <w:tcW w:w="1595" w:type="dxa"/>
          </w:tcPr>
          <w:p w:rsidR="00000000" w:rsidRDefault="00000000">
            <w:pPr>
              <w:spacing w:before="60"/>
              <w:jc w:val="center"/>
              <w:rPr>
                <w:sz w:val="22"/>
              </w:rPr>
            </w:pPr>
            <w:r>
              <w:rPr>
                <w:sz w:val="22"/>
              </w:rPr>
              <w:t>51.6</w:t>
            </w:r>
          </w:p>
        </w:tc>
      </w:tr>
      <w:tr w:rsidR="00000000">
        <w:tblPrEx>
          <w:tblCellMar>
            <w:top w:w="0" w:type="dxa"/>
            <w:bottom w:w="0" w:type="dxa"/>
          </w:tblCellMar>
        </w:tblPrEx>
        <w:tc>
          <w:tcPr>
            <w:tcW w:w="1595" w:type="dxa"/>
          </w:tcPr>
          <w:p w:rsidR="00000000" w:rsidRDefault="00000000">
            <w:pPr>
              <w:spacing w:before="60"/>
              <w:ind w:right="227"/>
              <w:jc w:val="right"/>
              <w:rPr>
                <w:rFonts w:hint="eastAsia"/>
                <w:sz w:val="22"/>
                <w:lang w:val="fr-CH"/>
              </w:rPr>
            </w:pPr>
            <w:r>
              <w:rPr>
                <w:rFonts w:hint="eastAsia"/>
                <w:sz w:val="22"/>
              </w:rPr>
              <w:t xml:space="preserve">1999 </w:t>
            </w:r>
            <w:r>
              <w:rPr>
                <w:position w:val="6"/>
                <w:sz w:val="22"/>
                <w:u w:val="single"/>
                <w:lang w:val="fr-CH"/>
              </w:rPr>
              <w:t>a</w:t>
            </w:r>
            <w:r>
              <w:rPr>
                <w:rFonts w:hint="eastAsia"/>
                <w:sz w:val="22"/>
                <w:lang w:val="fr-CH"/>
              </w:rPr>
              <w:t>/</w:t>
            </w:r>
          </w:p>
        </w:tc>
        <w:tc>
          <w:tcPr>
            <w:tcW w:w="1595" w:type="dxa"/>
          </w:tcPr>
          <w:p w:rsidR="00000000" w:rsidRDefault="00000000">
            <w:pPr>
              <w:spacing w:before="60"/>
              <w:ind w:right="284"/>
              <w:jc w:val="right"/>
              <w:rPr>
                <w:sz w:val="22"/>
              </w:rPr>
            </w:pPr>
            <w:r>
              <w:rPr>
                <w:sz w:val="22"/>
              </w:rPr>
              <w:t>316,816</w:t>
            </w:r>
          </w:p>
        </w:tc>
        <w:tc>
          <w:tcPr>
            <w:tcW w:w="1595" w:type="dxa"/>
          </w:tcPr>
          <w:p w:rsidR="00000000" w:rsidRDefault="00000000">
            <w:pPr>
              <w:spacing w:before="60"/>
              <w:ind w:right="340"/>
              <w:jc w:val="right"/>
              <w:rPr>
                <w:sz w:val="22"/>
              </w:rPr>
            </w:pPr>
            <w:r>
              <w:rPr>
                <w:sz w:val="22"/>
              </w:rPr>
              <w:t>258.2</w:t>
            </w:r>
          </w:p>
        </w:tc>
        <w:tc>
          <w:tcPr>
            <w:tcW w:w="1595" w:type="dxa"/>
          </w:tcPr>
          <w:p w:rsidR="00000000" w:rsidRDefault="00000000">
            <w:pPr>
              <w:spacing w:before="60"/>
              <w:ind w:right="340"/>
              <w:jc w:val="right"/>
              <w:rPr>
                <w:sz w:val="22"/>
              </w:rPr>
            </w:pPr>
            <w:r>
              <w:rPr>
                <w:sz w:val="22"/>
              </w:rPr>
              <w:t>165,897</w:t>
            </w:r>
          </w:p>
        </w:tc>
        <w:tc>
          <w:tcPr>
            <w:tcW w:w="1595" w:type="dxa"/>
          </w:tcPr>
          <w:p w:rsidR="00000000" w:rsidRDefault="00000000">
            <w:pPr>
              <w:spacing w:before="60"/>
              <w:ind w:right="340"/>
              <w:jc w:val="right"/>
              <w:rPr>
                <w:sz w:val="22"/>
              </w:rPr>
            </w:pPr>
            <w:r>
              <w:rPr>
                <w:sz w:val="22"/>
              </w:rPr>
              <w:t>220.7</w:t>
            </w:r>
          </w:p>
        </w:tc>
        <w:tc>
          <w:tcPr>
            <w:tcW w:w="1595" w:type="dxa"/>
          </w:tcPr>
          <w:p w:rsidR="00000000" w:rsidRDefault="00000000">
            <w:pPr>
              <w:spacing w:before="60"/>
              <w:jc w:val="center"/>
              <w:rPr>
                <w:sz w:val="22"/>
              </w:rPr>
            </w:pPr>
            <w:r>
              <w:rPr>
                <w:sz w:val="22"/>
              </w:rPr>
              <w:t>52.4</w:t>
            </w:r>
          </w:p>
        </w:tc>
      </w:tr>
    </w:tbl>
    <w:p w:rsidR="00000000" w:rsidRDefault="00000000">
      <w:pPr>
        <w:rPr>
          <w:rFonts w:hint="eastAsia"/>
          <w:sz w:val="21"/>
        </w:rPr>
      </w:pPr>
    </w:p>
    <w:p w:rsidR="00000000" w:rsidRDefault="00000000">
      <w:pPr>
        <w:pStyle w:val="EndnoteText"/>
        <w:ind w:firstLine="0"/>
        <w:rPr>
          <w:rFonts w:hint="eastAsia"/>
        </w:rPr>
      </w:pPr>
      <w:r>
        <w:rPr>
          <w:rFonts w:hint="eastAsia"/>
          <w:u w:val="single"/>
        </w:rPr>
        <w:t>资料来源</w:t>
      </w:r>
      <w:r>
        <w:rPr>
          <w:rFonts w:hint="eastAsia"/>
        </w:rPr>
        <w:t>：克罗地亚职业介绍所，萨格勒布。</w:t>
      </w:r>
    </w:p>
    <w:p w:rsidR="00000000" w:rsidRDefault="00000000">
      <w:pPr>
        <w:pStyle w:val="EndnoteText"/>
        <w:tabs>
          <w:tab w:val="left" w:pos="1200"/>
        </w:tabs>
        <w:spacing w:after="320"/>
        <w:ind w:left="510" w:firstLine="330"/>
        <w:rPr>
          <w:rFonts w:hint="eastAsia"/>
        </w:rPr>
      </w:pPr>
      <w:r>
        <w:rPr>
          <w:u w:val="single"/>
          <w:lang w:val="fr-CH"/>
        </w:rPr>
        <w:t>a</w:t>
      </w:r>
      <w:r>
        <w:rPr>
          <w:rFonts w:hint="eastAsia"/>
          <w:lang w:val="fr-CH"/>
        </w:rPr>
        <w:t>/</w:t>
      </w:r>
      <w:r>
        <w:rPr>
          <w:rFonts w:hint="eastAsia"/>
          <w:lang w:val="fr-CH"/>
        </w:rPr>
        <w:tab/>
      </w:r>
      <w:r>
        <w:rPr>
          <w:rFonts w:hint="eastAsia"/>
        </w:rPr>
        <w:t>1999</w:t>
      </w:r>
      <w:r>
        <w:rPr>
          <w:rFonts w:hint="eastAsia"/>
        </w:rPr>
        <w:t>年的数字是取</w:t>
      </w:r>
      <w:r>
        <w:rPr>
          <w:rFonts w:hint="eastAsia"/>
        </w:rPr>
        <w:t>1</w:t>
      </w:r>
      <w:r>
        <w:rPr>
          <w:rFonts w:hint="eastAsia"/>
        </w:rPr>
        <w:t>月至</w:t>
      </w:r>
      <w:r>
        <w:rPr>
          <w:rFonts w:hint="eastAsia"/>
        </w:rPr>
        <w:t>9</w:t>
      </w:r>
      <w:r>
        <w:rPr>
          <w:rFonts w:hint="eastAsia"/>
        </w:rPr>
        <w:t>月登记的失业数字的平均。</w:t>
      </w:r>
    </w:p>
    <w:p w:rsidR="00000000" w:rsidRDefault="00000000">
      <w:pPr>
        <w:rPr>
          <w:rFonts w:hint="eastAsia"/>
        </w:rPr>
      </w:pPr>
      <w:r>
        <w:rPr>
          <w:rFonts w:hint="eastAsia"/>
        </w:rPr>
        <w:tab/>
        <w:t xml:space="preserve">63.    </w:t>
      </w:r>
      <w:r>
        <w:rPr>
          <w:rFonts w:hint="eastAsia"/>
        </w:rPr>
        <w:t>克罗地亚共和国登记的失业人数从</w:t>
      </w:r>
      <w:r>
        <w:rPr>
          <w:rFonts w:hint="eastAsia"/>
        </w:rPr>
        <w:t>1980</w:t>
      </w:r>
      <w:r>
        <w:rPr>
          <w:rFonts w:hint="eastAsia"/>
        </w:rPr>
        <w:t>年代初至</w:t>
      </w:r>
      <w:r>
        <w:rPr>
          <w:rFonts w:hint="eastAsia"/>
        </w:rPr>
        <w:t>1990</w:t>
      </w:r>
      <w:r>
        <w:rPr>
          <w:rFonts w:hint="eastAsia"/>
        </w:rPr>
        <w:t>年代初不断增加。在</w:t>
      </w:r>
      <w:r>
        <w:rPr>
          <w:rFonts w:hint="eastAsia"/>
        </w:rPr>
        <w:t>1980</w:t>
      </w:r>
      <w:r>
        <w:rPr>
          <w:rFonts w:hint="eastAsia"/>
        </w:rPr>
        <w:t>年至</w:t>
      </w:r>
      <w:r>
        <w:rPr>
          <w:rFonts w:hint="eastAsia"/>
        </w:rPr>
        <w:t>1990</w:t>
      </w:r>
      <w:r>
        <w:rPr>
          <w:rFonts w:hint="eastAsia"/>
        </w:rPr>
        <w:t>年期间，平均每年增加</w:t>
      </w:r>
      <w:r>
        <w:rPr>
          <w:rFonts w:hint="eastAsia"/>
        </w:rPr>
        <w:t>6.2%</w:t>
      </w:r>
      <w:r>
        <w:rPr>
          <w:rFonts w:hint="eastAsia"/>
        </w:rPr>
        <w:t>，</w:t>
      </w:r>
      <w:r>
        <w:rPr>
          <w:rFonts w:hint="eastAsia"/>
        </w:rPr>
        <w:t>1990</w:t>
      </w:r>
      <w:r>
        <w:rPr>
          <w:rFonts w:hint="eastAsia"/>
        </w:rPr>
        <w:t>年代初失业人数开始大幅增加，这主要是由于破产和倒闭公司的工人大规模加入失业行业所造成的。这不仅改变了失业人口的动态，也改变了其结构。从</w:t>
      </w:r>
      <w:r>
        <w:rPr>
          <w:rFonts w:hint="eastAsia"/>
        </w:rPr>
        <w:t>1993</w:t>
      </w:r>
      <w:r>
        <w:rPr>
          <w:rFonts w:hint="eastAsia"/>
        </w:rPr>
        <w:t>年至</w:t>
      </w:r>
      <w:r>
        <w:rPr>
          <w:rFonts w:hint="eastAsia"/>
        </w:rPr>
        <w:t>1995</w:t>
      </w:r>
      <w:r>
        <w:rPr>
          <w:rFonts w:hint="eastAsia"/>
        </w:rPr>
        <w:t>年，失业人口有所下降，但从</w:t>
      </w:r>
      <w:r>
        <w:rPr>
          <w:rFonts w:hint="eastAsia"/>
        </w:rPr>
        <w:t>1996</w:t>
      </w:r>
      <w:r>
        <w:rPr>
          <w:rFonts w:hint="eastAsia"/>
        </w:rPr>
        <w:t>年开始则不断上升。</w:t>
      </w:r>
    </w:p>
    <w:p w:rsidR="00000000" w:rsidRDefault="00000000">
      <w:pPr>
        <w:rPr>
          <w:rFonts w:hint="eastAsia"/>
        </w:rPr>
      </w:pPr>
      <w:r>
        <w:rPr>
          <w:rFonts w:hint="eastAsia"/>
        </w:rPr>
        <w:tab/>
        <w:t xml:space="preserve">64.  </w:t>
      </w:r>
      <w:r>
        <w:rPr>
          <w:rFonts w:hint="eastAsia"/>
        </w:rPr>
        <w:t>我们从上表可以看出，</w:t>
      </w:r>
      <w:r>
        <w:rPr>
          <w:rFonts w:hint="eastAsia"/>
        </w:rPr>
        <w:t>1986</w:t>
      </w:r>
      <w:r>
        <w:rPr>
          <w:rFonts w:hint="eastAsia"/>
        </w:rPr>
        <w:t>年至</w:t>
      </w:r>
      <w:r>
        <w:rPr>
          <w:rFonts w:hint="eastAsia"/>
        </w:rPr>
        <w:t>1999</w:t>
      </w:r>
      <w:r>
        <w:rPr>
          <w:rFonts w:hint="eastAsia"/>
        </w:rPr>
        <w:t>年期间的失业总数增加了两倍半</w:t>
      </w:r>
      <w:r>
        <w:rPr>
          <w:rFonts w:hint="eastAsia"/>
        </w:rPr>
        <w:t>(</w:t>
      </w:r>
      <w:r>
        <w:rPr>
          <w:rFonts w:hint="eastAsia"/>
        </w:rPr>
        <w:t>指数是</w:t>
      </w:r>
      <w:r>
        <w:rPr>
          <w:rFonts w:hint="eastAsia"/>
        </w:rPr>
        <w:t>258.2)</w:t>
      </w:r>
      <w:r>
        <w:rPr>
          <w:rFonts w:hint="eastAsia"/>
        </w:rPr>
        <w:t>，妇女失业人数则增加了两倍</w:t>
      </w:r>
      <w:r>
        <w:rPr>
          <w:rFonts w:hint="eastAsia"/>
        </w:rPr>
        <w:t>(</w:t>
      </w:r>
      <w:r>
        <w:rPr>
          <w:rFonts w:hint="eastAsia"/>
        </w:rPr>
        <w:t>指数是</w:t>
      </w:r>
      <w:r>
        <w:rPr>
          <w:rFonts w:hint="eastAsia"/>
        </w:rPr>
        <w:t>220.7)</w:t>
      </w:r>
      <w:r>
        <w:rPr>
          <w:rFonts w:hint="eastAsia"/>
        </w:rPr>
        <w:t>。妇女所占百分比在这一期间从</w:t>
      </w:r>
      <w:r>
        <w:rPr>
          <w:rFonts w:hint="eastAsia"/>
        </w:rPr>
        <w:t>61.3%</w:t>
      </w:r>
      <w:r>
        <w:rPr>
          <w:rFonts w:hint="eastAsia"/>
        </w:rPr>
        <w:t>降至</w:t>
      </w:r>
      <w:r>
        <w:rPr>
          <w:rFonts w:hint="eastAsia"/>
        </w:rPr>
        <w:t>52.4%</w:t>
      </w:r>
      <w:r>
        <w:rPr>
          <w:rFonts w:hint="eastAsia"/>
        </w:rPr>
        <w:t>。我们应当指出，这一比例在</w:t>
      </w:r>
      <w:r>
        <w:rPr>
          <w:rFonts w:hint="eastAsia"/>
        </w:rPr>
        <w:t>1990</w:t>
      </w:r>
      <w:r>
        <w:rPr>
          <w:rFonts w:hint="eastAsia"/>
        </w:rPr>
        <w:t>年代中期降至</w:t>
      </w:r>
      <w:r>
        <w:rPr>
          <w:rFonts w:hint="eastAsia"/>
        </w:rPr>
        <w:t>50%</w:t>
      </w:r>
      <w:r>
        <w:rPr>
          <w:rFonts w:hint="eastAsia"/>
        </w:rPr>
        <w:t>以下，这是因为战争结束后复员军人大批加入登记的失业行列。</w:t>
      </w:r>
    </w:p>
    <w:p w:rsidR="00000000" w:rsidRDefault="00000000">
      <w:pPr>
        <w:rPr>
          <w:rFonts w:hint="eastAsia"/>
        </w:rPr>
      </w:pPr>
      <w:r>
        <w:rPr>
          <w:rFonts w:hint="eastAsia"/>
        </w:rPr>
        <w:tab/>
        <w:t xml:space="preserve">65.  </w:t>
      </w:r>
      <w:r>
        <w:rPr>
          <w:rFonts w:hint="eastAsia"/>
        </w:rPr>
        <w:t>在登记失业者的年龄结构中，</w:t>
      </w:r>
      <w:r>
        <w:rPr>
          <w:rFonts w:hint="eastAsia"/>
        </w:rPr>
        <w:t>1986</w:t>
      </w:r>
      <w:r>
        <w:rPr>
          <w:rFonts w:hint="eastAsia"/>
        </w:rPr>
        <w:t>年，</w:t>
      </w:r>
      <w:r>
        <w:rPr>
          <w:rFonts w:hint="eastAsia"/>
        </w:rPr>
        <w:t>24</w:t>
      </w:r>
      <w:r>
        <w:rPr>
          <w:rFonts w:hint="eastAsia"/>
        </w:rPr>
        <w:t>岁以下的人占</w:t>
      </w:r>
      <w:r>
        <w:rPr>
          <w:rFonts w:hint="eastAsia"/>
        </w:rPr>
        <w:t>65.2%</w:t>
      </w:r>
      <w:r>
        <w:rPr>
          <w:rFonts w:hint="eastAsia"/>
        </w:rPr>
        <w:t>。</w:t>
      </w:r>
      <w:r>
        <w:rPr>
          <w:rFonts w:hint="eastAsia"/>
        </w:rPr>
        <w:t>1991</w:t>
      </w:r>
      <w:r>
        <w:rPr>
          <w:rFonts w:hint="eastAsia"/>
        </w:rPr>
        <w:t>年这一比例降至</w:t>
      </w:r>
      <w:r>
        <w:rPr>
          <w:rFonts w:hint="eastAsia"/>
        </w:rPr>
        <w:t>36.9%</w:t>
      </w:r>
      <w:r>
        <w:rPr>
          <w:rFonts w:hint="eastAsia"/>
        </w:rPr>
        <w:t>，</w:t>
      </w:r>
      <w:r>
        <w:rPr>
          <w:rFonts w:hint="eastAsia"/>
        </w:rPr>
        <w:t>1995</w:t>
      </w:r>
      <w:r>
        <w:rPr>
          <w:rFonts w:hint="eastAsia"/>
        </w:rPr>
        <w:t>年</w:t>
      </w:r>
      <w:r>
        <w:rPr>
          <w:rFonts w:hint="eastAsia"/>
        </w:rPr>
        <w:t>34.1%</w:t>
      </w:r>
      <w:r>
        <w:rPr>
          <w:rFonts w:hint="eastAsia"/>
        </w:rPr>
        <w:t>，</w:t>
      </w:r>
      <w:r>
        <w:rPr>
          <w:rFonts w:hint="eastAsia"/>
        </w:rPr>
        <w:t>1999</w:t>
      </w:r>
      <w:r>
        <w:rPr>
          <w:rFonts w:hint="eastAsia"/>
        </w:rPr>
        <w:t>年</w:t>
      </w:r>
      <w:r>
        <w:rPr>
          <w:rFonts w:hint="eastAsia"/>
        </w:rPr>
        <w:t>31.1%</w:t>
      </w:r>
      <w:r>
        <w:rPr>
          <w:rFonts w:hint="eastAsia"/>
        </w:rPr>
        <w:t>。年青人所占比例下降和年长者所占比例增加的趋势主要是公司倒闭和工人多余造成的；工人主要为了获得失业福利因而在职业介绍厅登记。这些主要是中年或更年长的工人，他们比较难找到工作，因此留在职业介绍厅登记簿上的时间较长。</w:t>
      </w:r>
    </w:p>
    <w:p w:rsidR="00000000" w:rsidRDefault="00000000">
      <w:pPr>
        <w:rPr>
          <w:rFonts w:hint="eastAsia"/>
        </w:rPr>
      </w:pPr>
      <w:r>
        <w:rPr>
          <w:rFonts w:hint="eastAsia"/>
        </w:rPr>
        <w:tab/>
        <w:t xml:space="preserve">66.  </w:t>
      </w:r>
      <w:r>
        <w:rPr>
          <w:rFonts w:hint="eastAsia"/>
        </w:rPr>
        <w:t>失业时间是监测这一现象的一个重要因素。长时间失业有明显的经济、社会、心理和其他方面的不良影响。在</w:t>
      </w:r>
      <w:r>
        <w:rPr>
          <w:rFonts w:hint="eastAsia"/>
        </w:rPr>
        <w:t>1999</w:t>
      </w:r>
      <w:r>
        <w:rPr>
          <w:rFonts w:hint="eastAsia"/>
        </w:rPr>
        <w:t>年</w:t>
      </w:r>
      <w:r>
        <w:rPr>
          <w:rFonts w:hint="eastAsia"/>
        </w:rPr>
        <w:t>6</w:t>
      </w:r>
      <w:r>
        <w:rPr>
          <w:rFonts w:hint="eastAsia"/>
        </w:rPr>
        <w:t>月底，在登记的失业总人数中，</w:t>
      </w:r>
      <w:r>
        <w:rPr>
          <w:rFonts w:hint="eastAsia"/>
        </w:rPr>
        <w:t>43,332</w:t>
      </w:r>
      <w:r>
        <w:rPr>
          <w:rFonts w:hint="eastAsia"/>
        </w:rPr>
        <w:t>人已失业</w:t>
      </w:r>
      <w:r>
        <w:rPr>
          <w:rFonts w:hint="eastAsia"/>
        </w:rPr>
        <w:t>3</w:t>
      </w:r>
      <w:r>
        <w:rPr>
          <w:rFonts w:hint="eastAsia"/>
        </w:rPr>
        <w:t>个月</w:t>
      </w:r>
      <w:r>
        <w:rPr>
          <w:rFonts w:hint="eastAsia"/>
        </w:rPr>
        <w:t>(13.9%)</w:t>
      </w:r>
      <w:r>
        <w:rPr>
          <w:rFonts w:hint="eastAsia"/>
        </w:rPr>
        <w:t>，</w:t>
      </w:r>
      <w:r>
        <w:rPr>
          <w:rFonts w:hint="eastAsia"/>
        </w:rPr>
        <w:t>44,735</w:t>
      </w:r>
      <w:r>
        <w:rPr>
          <w:rFonts w:hint="eastAsia"/>
        </w:rPr>
        <w:t>人失业</w:t>
      </w:r>
      <w:r>
        <w:rPr>
          <w:rFonts w:hint="eastAsia"/>
        </w:rPr>
        <w:t>3</w:t>
      </w:r>
      <w:r>
        <w:rPr>
          <w:rFonts w:hint="eastAsia"/>
        </w:rPr>
        <w:t>至</w:t>
      </w:r>
      <w:r>
        <w:rPr>
          <w:rFonts w:hint="eastAsia"/>
        </w:rPr>
        <w:t>6</w:t>
      </w:r>
      <w:r>
        <w:rPr>
          <w:rFonts w:hint="eastAsia"/>
        </w:rPr>
        <w:t>个月</w:t>
      </w:r>
      <w:r>
        <w:rPr>
          <w:rFonts w:hint="eastAsia"/>
        </w:rPr>
        <w:t>(14.3%)</w:t>
      </w:r>
      <w:r>
        <w:rPr>
          <w:rFonts w:hint="eastAsia"/>
        </w:rPr>
        <w:t>、</w:t>
      </w:r>
      <w:r>
        <w:rPr>
          <w:rFonts w:hint="eastAsia"/>
        </w:rPr>
        <w:t>35,745</w:t>
      </w:r>
      <w:r>
        <w:rPr>
          <w:rFonts w:hint="eastAsia"/>
        </w:rPr>
        <w:t>人失业</w:t>
      </w:r>
      <w:r>
        <w:rPr>
          <w:rFonts w:hint="eastAsia"/>
        </w:rPr>
        <w:t>6</w:t>
      </w:r>
      <w:r>
        <w:rPr>
          <w:rFonts w:hint="eastAsia"/>
        </w:rPr>
        <w:t>至</w:t>
      </w:r>
      <w:r>
        <w:rPr>
          <w:rFonts w:hint="eastAsia"/>
        </w:rPr>
        <w:t>9</w:t>
      </w:r>
      <w:r>
        <w:rPr>
          <w:rFonts w:hint="eastAsia"/>
        </w:rPr>
        <w:t>个月</w:t>
      </w:r>
      <w:r>
        <w:rPr>
          <w:rFonts w:hint="eastAsia"/>
        </w:rPr>
        <w:t>(11.4%)</w:t>
      </w:r>
      <w:r>
        <w:rPr>
          <w:rFonts w:hint="eastAsia"/>
        </w:rPr>
        <w:t>、</w:t>
      </w:r>
      <w:r>
        <w:rPr>
          <w:rFonts w:hint="eastAsia"/>
        </w:rPr>
        <w:t>32,868</w:t>
      </w:r>
      <w:r>
        <w:rPr>
          <w:rFonts w:hint="eastAsia"/>
        </w:rPr>
        <w:t>人失业</w:t>
      </w:r>
      <w:r>
        <w:rPr>
          <w:rFonts w:hint="eastAsia"/>
        </w:rPr>
        <w:t>9</w:t>
      </w:r>
      <w:r>
        <w:rPr>
          <w:rFonts w:hint="eastAsia"/>
        </w:rPr>
        <w:t>至</w:t>
      </w:r>
      <w:r>
        <w:rPr>
          <w:rFonts w:hint="eastAsia"/>
        </w:rPr>
        <w:t>12</w:t>
      </w:r>
      <w:r>
        <w:rPr>
          <w:rFonts w:hint="eastAsia"/>
        </w:rPr>
        <w:t>个月</w:t>
      </w:r>
      <w:r>
        <w:rPr>
          <w:rFonts w:hint="eastAsia"/>
        </w:rPr>
        <w:t>(10.5%)</w:t>
      </w:r>
      <w:r>
        <w:rPr>
          <w:rFonts w:hint="eastAsia"/>
        </w:rPr>
        <w:t>、</w:t>
      </w:r>
      <w:r>
        <w:rPr>
          <w:rFonts w:hint="eastAsia"/>
        </w:rPr>
        <w:t>59,655</w:t>
      </w:r>
      <w:r>
        <w:rPr>
          <w:rFonts w:hint="eastAsia"/>
        </w:rPr>
        <w:t>人失业</w:t>
      </w:r>
      <w:r>
        <w:rPr>
          <w:rFonts w:hint="eastAsia"/>
        </w:rPr>
        <w:t>1</w:t>
      </w:r>
      <w:r>
        <w:rPr>
          <w:rFonts w:hint="eastAsia"/>
        </w:rPr>
        <w:t>至</w:t>
      </w:r>
      <w:r>
        <w:rPr>
          <w:rFonts w:hint="eastAsia"/>
        </w:rPr>
        <w:t>2</w:t>
      </w:r>
      <w:r>
        <w:rPr>
          <w:rFonts w:hint="eastAsia"/>
        </w:rPr>
        <w:t>年</w:t>
      </w:r>
      <w:r>
        <w:rPr>
          <w:rFonts w:hint="eastAsia"/>
        </w:rPr>
        <w:t>(19.1%)</w:t>
      </w:r>
      <w:r>
        <w:rPr>
          <w:rFonts w:hint="eastAsia"/>
        </w:rPr>
        <w:t>、</w:t>
      </w:r>
      <w:r>
        <w:rPr>
          <w:rFonts w:hint="eastAsia"/>
        </w:rPr>
        <w:t>32,692</w:t>
      </w:r>
      <w:r>
        <w:rPr>
          <w:rFonts w:hint="eastAsia"/>
        </w:rPr>
        <w:t>人失业</w:t>
      </w:r>
      <w:r>
        <w:rPr>
          <w:rFonts w:hint="eastAsia"/>
        </w:rPr>
        <w:t>2</w:t>
      </w:r>
      <w:r>
        <w:rPr>
          <w:rFonts w:hint="eastAsia"/>
        </w:rPr>
        <w:t>至</w:t>
      </w:r>
      <w:r>
        <w:rPr>
          <w:rFonts w:hint="eastAsia"/>
        </w:rPr>
        <w:t>3</w:t>
      </w:r>
      <w:r>
        <w:rPr>
          <w:rFonts w:hint="eastAsia"/>
        </w:rPr>
        <w:t>年</w:t>
      </w:r>
      <w:r>
        <w:rPr>
          <w:rFonts w:hint="eastAsia"/>
        </w:rPr>
        <w:t>(10.5%)</w:t>
      </w:r>
      <w:r>
        <w:rPr>
          <w:rFonts w:hint="eastAsia"/>
        </w:rPr>
        <w:t>、</w:t>
      </w:r>
      <w:r>
        <w:rPr>
          <w:rFonts w:hint="eastAsia"/>
        </w:rPr>
        <w:t>63,771</w:t>
      </w:r>
      <w:r>
        <w:rPr>
          <w:rFonts w:hint="eastAsia"/>
        </w:rPr>
        <w:t>人失业超过</w:t>
      </w:r>
      <w:r>
        <w:rPr>
          <w:rFonts w:hint="eastAsia"/>
        </w:rPr>
        <w:t>3</w:t>
      </w:r>
      <w:r>
        <w:rPr>
          <w:rFonts w:hint="eastAsia"/>
        </w:rPr>
        <w:t>年</w:t>
      </w:r>
      <w:r>
        <w:rPr>
          <w:rFonts w:hint="eastAsia"/>
        </w:rPr>
        <w:t>(20.4%)</w:t>
      </w:r>
      <w:r>
        <w:rPr>
          <w:rFonts w:hint="eastAsia"/>
        </w:rPr>
        <w:t>。</w:t>
      </w:r>
    </w:p>
    <w:p w:rsidR="00000000" w:rsidRDefault="00000000">
      <w:pPr>
        <w:rPr>
          <w:rFonts w:hint="eastAsia"/>
        </w:rPr>
      </w:pPr>
      <w:r>
        <w:rPr>
          <w:rFonts w:hint="eastAsia"/>
        </w:rPr>
        <w:tab/>
        <w:t xml:space="preserve">67.  </w:t>
      </w:r>
      <w:r>
        <w:rPr>
          <w:rFonts w:hint="eastAsia"/>
        </w:rPr>
        <w:t>目前，无工作经验和教育水平低的年青人、年长者、长期失业者和来自受到战争冲击地区的人比较难找到工作，他们在今后一段时间内也将是如此。在就业政策中，这些人应当得到更多的注意。</w:t>
      </w:r>
    </w:p>
    <w:p w:rsidR="00000000" w:rsidRDefault="00000000">
      <w:pPr>
        <w:rPr>
          <w:rFonts w:hint="eastAsia"/>
        </w:rPr>
      </w:pPr>
      <w:r>
        <w:rPr>
          <w:rFonts w:hint="eastAsia"/>
        </w:rPr>
        <w:tab/>
        <w:t xml:space="preserve">68.  </w:t>
      </w:r>
      <w:r>
        <w:rPr>
          <w:rFonts w:hint="eastAsia"/>
        </w:rPr>
        <w:t>遗憾的是只有相当一般性的有关就业不易者</w:t>
      </w:r>
      <w:r>
        <w:rPr>
          <w:rFonts w:hint="eastAsia"/>
        </w:rPr>
        <w:t>(</w:t>
      </w:r>
      <w:r>
        <w:rPr>
          <w:rFonts w:hint="eastAsia"/>
        </w:rPr>
        <w:t>包括残疾人</w:t>
      </w:r>
      <w:r>
        <w:rPr>
          <w:rFonts w:hint="eastAsia"/>
        </w:rPr>
        <w:t>)</w:t>
      </w:r>
      <w:r>
        <w:rPr>
          <w:rFonts w:hint="eastAsia"/>
        </w:rPr>
        <w:t>的就业或失业情况的数据。下面将引用的是与在职业介绍厅登记的人有关的数据。此外，在过去十年中，克罗地亚发生了重大的政治变化，包括残疾者的福利和其他需要社会保障者的福利方面的变化。因此数据并不完全是可比的。</w:t>
      </w:r>
    </w:p>
    <w:p w:rsidR="00000000" w:rsidRDefault="00000000">
      <w:pPr>
        <w:rPr>
          <w:rFonts w:hint="eastAsia"/>
        </w:rPr>
      </w:pPr>
      <w:r>
        <w:rPr>
          <w:rFonts w:hint="eastAsia"/>
        </w:rPr>
        <w:tab/>
        <w:t xml:space="preserve">69.  </w:t>
      </w:r>
      <w:r>
        <w:rPr>
          <w:rFonts w:hint="eastAsia"/>
        </w:rPr>
        <w:t>在</w:t>
      </w:r>
      <w:r>
        <w:rPr>
          <w:rFonts w:hint="eastAsia"/>
        </w:rPr>
        <w:t>1998</w:t>
      </w:r>
      <w:r>
        <w:rPr>
          <w:rFonts w:hint="eastAsia"/>
        </w:rPr>
        <w:t>年底，绝对和相对的较难就业者的失业人数减少的趋势仍继续。当然这一减少的幅度并不大，但这是近年来一直继续存在的现象。难以就业者的失业人数减少的部分原因是，作出了努力确保这些类别的人至少有一些得到就业，或许也是因为改变了评估一个人是否难以雇用的标准。</w:t>
      </w:r>
    </w:p>
    <w:p w:rsidR="00000000" w:rsidRDefault="00000000">
      <w:pPr>
        <w:rPr>
          <w:rFonts w:hint="eastAsia"/>
        </w:rPr>
      </w:pPr>
      <w:r>
        <w:rPr>
          <w:rFonts w:hint="eastAsia"/>
        </w:rPr>
        <w:tab/>
        <w:t xml:space="preserve">70.  </w:t>
      </w:r>
      <w:r>
        <w:rPr>
          <w:rFonts w:hint="eastAsia"/>
        </w:rPr>
        <w:t>在</w:t>
      </w:r>
      <w:r>
        <w:rPr>
          <w:rFonts w:hint="eastAsia"/>
        </w:rPr>
        <w:t>1998</w:t>
      </w:r>
      <w:r>
        <w:rPr>
          <w:rFonts w:hint="eastAsia"/>
        </w:rPr>
        <w:t>年底，克罗地亚共和国登记的失业者总数是</w:t>
      </w:r>
      <w:r>
        <w:rPr>
          <w:rFonts w:hint="eastAsia"/>
        </w:rPr>
        <w:t>302,731,</w:t>
      </w:r>
      <w:r>
        <w:rPr>
          <w:rFonts w:hint="eastAsia"/>
        </w:rPr>
        <w:t>比</w:t>
      </w:r>
      <w:r>
        <w:rPr>
          <w:rFonts w:hint="eastAsia"/>
        </w:rPr>
        <w:t>1997</w:t>
      </w:r>
      <w:r>
        <w:rPr>
          <w:rFonts w:hint="eastAsia"/>
        </w:rPr>
        <w:t>年多</w:t>
      </w:r>
      <w:r>
        <w:rPr>
          <w:rFonts w:hint="eastAsia"/>
        </w:rPr>
        <w:t>5.4%</w:t>
      </w:r>
      <w:r>
        <w:rPr>
          <w:rFonts w:hint="eastAsia"/>
        </w:rPr>
        <w:t>。同时，难以就业者的失业人数下降了，因此他们占失业者总人数的比例也下降了</w:t>
      </w:r>
      <w:r>
        <w:rPr>
          <w:rFonts w:hint="eastAsia"/>
        </w:rPr>
        <w:t>(</w:t>
      </w:r>
      <w:r>
        <w:rPr>
          <w:rFonts w:hint="eastAsia"/>
        </w:rPr>
        <w:t>从</w:t>
      </w:r>
      <w:r>
        <w:rPr>
          <w:rFonts w:hint="eastAsia"/>
        </w:rPr>
        <w:t>9.6%</w:t>
      </w:r>
      <w:r>
        <w:rPr>
          <w:rFonts w:hint="eastAsia"/>
        </w:rPr>
        <w:t>降至</w:t>
      </w:r>
      <w:r>
        <w:rPr>
          <w:rFonts w:hint="eastAsia"/>
        </w:rPr>
        <w:t>8.8%)</w:t>
      </w:r>
      <w:r>
        <w:rPr>
          <w:rFonts w:hint="eastAsia"/>
        </w:rPr>
        <w:t>。</w:t>
      </w:r>
    </w:p>
    <w:p w:rsidR="00000000" w:rsidRDefault="00000000">
      <w:pPr>
        <w:rPr>
          <w:rFonts w:hint="eastAsia"/>
        </w:rPr>
      </w:pPr>
      <w:r>
        <w:rPr>
          <w:rFonts w:hint="eastAsia"/>
        </w:rPr>
        <w:tab/>
        <w:t>71.  1998</w:t>
      </w:r>
      <w:r>
        <w:rPr>
          <w:rFonts w:hint="eastAsia"/>
        </w:rPr>
        <w:t>年克罗地亚职业介绍厅登记的失业残疾者有</w:t>
      </w:r>
      <w:r>
        <w:rPr>
          <w:rFonts w:hint="eastAsia"/>
        </w:rPr>
        <w:t>8,105</w:t>
      </w:r>
      <w:r>
        <w:rPr>
          <w:rFonts w:hint="eastAsia"/>
        </w:rPr>
        <w:t>人。这比</w:t>
      </w:r>
      <w:r>
        <w:rPr>
          <w:rFonts w:hint="eastAsia"/>
        </w:rPr>
        <w:t>1997</w:t>
      </w:r>
      <w:r>
        <w:rPr>
          <w:rFonts w:hint="eastAsia"/>
        </w:rPr>
        <w:t>年增加</w:t>
      </w:r>
      <w:r>
        <w:rPr>
          <w:rFonts w:hint="eastAsia"/>
        </w:rPr>
        <w:t>2%</w:t>
      </w:r>
      <w:r>
        <w:rPr>
          <w:rFonts w:hint="eastAsia"/>
        </w:rPr>
        <w:t>。不过，有些类别的残疾者失业人数减少了。例如，最近战争的复员军人失业率减少</w:t>
      </w:r>
      <w:r>
        <w:rPr>
          <w:rFonts w:hint="eastAsia"/>
        </w:rPr>
        <w:t>7.4%</w:t>
      </w:r>
      <w:r>
        <w:rPr>
          <w:rFonts w:hint="eastAsia"/>
        </w:rPr>
        <w:t>，因工伤残疾的人比</w:t>
      </w:r>
      <w:r>
        <w:rPr>
          <w:rFonts w:hint="eastAsia"/>
        </w:rPr>
        <w:t>1997</w:t>
      </w:r>
      <w:r>
        <w:rPr>
          <w:rFonts w:hint="eastAsia"/>
        </w:rPr>
        <w:t>年少</w:t>
      </w:r>
      <w:r>
        <w:rPr>
          <w:rFonts w:hint="eastAsia"/>
        </w:rPr>
        <w:t>12%</w:t>
      </w:r>
      <w:r>
        <w:rPr>
          <w:rFonts w:hint="eastAsia"/>
        </w:rPr>
        <w:t>。</w:t>
      </w:r>
    </w:p>
    <w:p w:rsidR="00000000" w:rsidRDefault="00000000">
      <w:pPr>
        <w:rPr>
          <w:rFonts w:hint="eastAsia"/>
        </w:rPr>
      </w:pPr>
      <w:r>
        <w:rPr>
          <w:rFonts w:hint="eastAsia"/>
        </w:rPr>
        <w:tab/>
        <w:t xml:space="preserve">72.  </w:t>
      </w:r>
      <w:r>
        <w:rPr>
          <w:rFonts w:hint="eastAsia"/>
        </w:rPr>
        <w:t>在</w:t>
      </w:r>
      <w:r>
        <w:rPr>
          <w:rFonts w:hint="eastAsia"/>
        </w:rPr>
        <w:t>1995</w:t>
      </w:r>
      <w:r>
        <w:rPr>
          <w:rFonts w:hint="eastAsia"/>
        </w:rPr>
        <w:t>年底，职业介绍厅登记的失业人数有</w:t>
      </w:r>
      <w:r>
        <w:rPr>
          <w:rFonts w:hint="eastAsia"/>
        </w:rPr>
        <w:t>249,070,</w:t>
      </w:r>
      <w:r>
        <w:rPr>
          <w:rFonts w:hint="eastAsia"/>
        </w:rPr>
        <w:t>其中</w:t>
      </w:r>
      <w:r>
        <w:rPr>
          <w:rFonts w:hint="eastAsia"/>
        </w:rPr>
        <w:t>27,930</w:t>
      </w:r>
      <w:r>
        <w:rPr>
          <w:rFonts w:hint="eastAsia"/>
        </w:rPr>
        <w:t>人</w:t>
      </w:r>
      <w:r>
        <w:rPr>
          <w:rFonts w:hint="eastAsia"/>
        </w:rPr>
        <w:t>(11.2%)</w:t>
      </w:r>
      <w:r>
        <w:rPr>
          <w:rFonts w:hint="eastAsia"/>
        </w:rPr>
        <w:t>属于难以就业类别。这一数字比前一年小一些。由于就业总人数增加了；这些数据表明职业介绍厅更多地注意了这些人</w:t>
      </w:r>
      <w:r>
        <w:rPr>
          <w:rFonts w:hint="eastAsia"/>
        </w:rPr>
        <w:t>(</w:t>
      </w:r>
      <w:r>
        <w:rPr>
          <w:rFonts w:hint="eastAsia"/>
        </w:rPr>
        <w:t>通过积极的就业政策</w:t>
      </w:r>
      <w:r>
        <w:rPr>
          <w:rFonts w:hint="eastAsia"/>
        </w:rPr>
        <w:t>)</w:t>
      </w:r>
      <w:r>
        <w:rPr>
          <w:rFonts w:hint="eastAsia"/>
        </w:rPr>
        <w:t>。</w:t>
      </w:r>
    </w:p>
    <w:p w:rsidR="00000000" w:rsidRDefault="00000000">
      <w:pPr>
        <w:rPr>
          <w:rFonts w:hint="eastAsia"/>
        </w:rPr>
      </w:pPr>
      <w:r>
        <w:rPr>
          <w:rFonts w:hint="eastAsia"/>
        </w:rPr>
        <w:tab/>
        <w:t xml:space="preserve">73.  </w:t>
      </w:r>
      <w:r>
        <w:rPr>
          <w:rFonts w:hint="eastAsia"/>
        </w:rPr>
        <w:t>在</w:t>
      </w:r>
      <w:r>
        <w:rPr>
          <w:rFonts w:hint="eastAsia"/>
        </w:rPr>
        <w:t>1995</w:t>
      </w:r>
      <w:r>
        <w:rPr>
          <w:rFonts w:hint="eastAsia"/>
        </w:rPr>
        <w:t>年底，职业介绍厅的登记簿上有</w:t>
      </w:r>
      <w:r>
        <w:rPr>
          <w:rFonts w:hint="eastAsia"/>
        </w:rPr>
        <w:t>6,930</w:t>
      </w:r>
      <w:r>
        <w:rPr>
          <w:rFonts w:hint="eastAsia"/>
        </w:rPr>
        <w:t>失业残疾人。他们在失业总人口中所占的比例是</w:t>
      </w:r>
      <w:r>
        <w:rPr>
          <w:rFonts w:hint="eastAsia"/>
        </w:rPr>
        <w:t>2.8%</w:t>
      </w:r>
      <w:r>
        <w:rPr>
          <w:rFonts w:hint="eastAsia"/>
        </w:rPr>
        <w:t>。残疾失业者比前一年稍多一些，“残疾青年”和“战争伤残者”等类别的失业人数较多。</w:t>
      </w:r>
    </w:p>
    <w:p w:rsidR="00000000" w:rsidRDefault="00000000">
      <w:pPr>
        <w:rPr>
          <w:rFonts w:hint="eastAsia"/>
        </w:rPr>
      </w:pPr>
      <w:r>
        <w:rPr>
          <w:rFonts w:hint="eastAsia"/>
        </w:rPr>
        <w:tab/>
        <w:t xml:space="preserve">74.  </w:t>
      </w:r>
      <w:r>
        <w:rPr>
          <w:rFonts w:hint="eastAsia"/>
        </w:rPr>
        <w:t>在</w:t>
      </w:r>
      <w:r>
        <w:rPr>
          <w:rFonts w:hint="eastAsia"/>
        </w:rPr>
        <w:t>1990</w:t>
      </w:r>
      <w:r>
        <w:rPr>
          <w:rFonts w:hint="eastAsia"/>
        </w:rPr>
        <w:t>年底，职业介绍所登记的失业者有</w:t>
      </w:r>
      <w:r>
        <w:rPr>
          <w:rFonts w:hint="eastAsia"/>
        </w:rPr>
        <w:t>195,466</w:t>
      </w:r>
      <w:r>
        <w:rPr>
          <w:rFonts w:hint="eastAsia"/>
        </w:rPr>
        <w:t>人，其中</w:t>
      </w:r>
      <w:r>
        <w:rPr>
          <w:rFonts w:hint="eastAsia"/>
        </w:rPr>
        <w:t>8,433</w:t>
      </w:r>
      <w:r>
        <w:rPr>
          <w:rFonts w:hint="eastAsia"/>
        </w:rPr>
        <w:t>人是难以就业者，或</w:t>
      </w:r>
      <w:r>
        <w:rPr>
          <w:rFonts w:hint="eastAsia"/>
        </w:rPr>
        <w:t>4.32%</w:t>
      </w:r>
      <w:r>
        <w:rPr>
          <w:rFonts w:hint="eastAsia"/>
        </w:rPr>
        <w:t>。这比前一年</w:t>
      </w:r>
      <w:r>
        <w:rPr>
          <w:rFonts w:hint="eastAsia"/>
        </w:rPr>
        <w:t>(1989</w:t>
      </w:r>
      <w:r>
        <w:rPr>
          <w:rFonts w:hint="eastAsia"/>
        </w:rPr>
        <w:t>年</w:t>
      </w:r>
      <w:r>
        <w:rPr>
          <w:rFonts w:hint="eastAsia"/>
        </w:rPr>
        <w:t>)</w:t>
      </w:r>
      <w:r>
        <w:rPr>
          <w:rFonts w:hint="eastAsia"/>
        </w:rPr>
        <w:t>增加了很多。职业介绍厅登记的失业残疾者有</w:t>
      </w:r>
      <w:r>
        <w:rPr>
          <w:rFonts w:hint="eastAsia"/>
        </w:rPr>
        <w:t>4,363</w:t>
      </w:r>
      <w:r>
        <w:rPr>
          <w:rFonts w:hint="eastAsia"/>
        </w:rPr>
        <w:t>人，占失业总人口的</w:t>
      </w:r>
      <w:r>
        <w:rPr>
          <w:rFonts w:hint="eastAsia"/>
        </w:rPr>
        <w:t>2.23%</w:t>
      </w:r>
      <w:r>
        <w:rPr>
          <w:rFonts w:hint="eastAsia"/>
        </w:rPr>
        <w:t>。这也比前一年增加了很多。</w:t>
      </w:r>
    </w:p>
    <w:p w:rsidR="00000000" w:rsidRDefault="00000000">
      <w:pPr>
        <w:rPr>
          <w:rFonts w:hint="eastAsia"/>
        </w:rPr>
      </w:pPr>
      <w:r>
        <w:rPr>
          <w:rFonts w:hint="eastAsia"/>
        </w:rPr>
        <w:tab/>
        <w:t xml:space="preserve">75.  </w:t>
      </w:r>
      <w:r>
        <w:rPr>
          <w:rFonts w:hint="eastAsia"/>
        </w:rPr>
        <w:t>最后，我们可以说难以就业者包括残疾者的失业人数趋势，除了最近几年外，总的来说与总的失业上升趋势保持一致。克罗地亚职业介绍厅设法在其现有能力范围内，通过向雇主提供财政奖励、医药和心理治理、劝告失业者、给他们再培训、额外培训和进一步培训，帮助有关失业者。</w:t>
      </w:r>
    </w:p>
    <w:p w:rsidR="00000000" w:rsidRDefault="00000000">
      <w:pPr>
        <w:rPr>
          <w:rFonts w:hint="eastAsia"/>
        </w:rPr>
      </w:pPr>
      <w:r>
        <w:rPr>
          <w:rFonts w:hint="eastAsia"/>
        </w:rPr>
        <w:tab/>
        <w:t xml:space="preserve">76.  </w:t>
      </w:r>
      <w:r>
        <w:rPr>
          <w:rFonts w:hint="eastAsia"/>
        </w:rPr>
        <w:t>克罗地亚国家议会众议院在</w:t>
      </w:r>
      <w:r>
        <w:rPr>
          <w:rFonts w:hint="eastAsia"/>
        </w:rPr>
        <w:t>1998</w:t>
      </w:r>
      <w:r>
        <w:rPr>
          <w:rFonts w:hint="eastAsia"/>
        </w:rPr>
        <w:t>年</w:t>
      </w:r>
      <w:r>
        <w:rPr>
          <w:rFonts w:hint="eastAsia"/>
        </w:rPr>
        <w:t>2</w:t>
      </w:r>
      <w:r>
        <w:rPr>
          <w:rFonts w:hint="eastAsia"/>
        </w:rPr>
        <w:t>月</w:t>
      </w:r>
      <w:r>
        <w:rPr>
          <w:rFonts w:hint="eastAsia"/>
        </w:rPr>
        <w:t>17</w:t>
      </w:r>
      <w:r>
        <w:rPr>
          <w:rFonts w:hint="eastAsia"/>
        </w:rPr>
        <w:t>日举行的会议上通过了国家就业政策，“要求克罗地亚共和国政府于</w:t>
      </w:r>
      <w:r>
        <w:rPr>
          <w:rFonts w:hint="eastAsia"/>
        </w:rPr>
        <w:t>1998</w:t>
      </w:r>
      <w:r>
        <w:rPr>
          <w:rFonts w:hint="eastAsia"/>
        </w:rPr>
        <w:t>年制订并执行一套鼓励公司和手艺人作坊创造新就业机会的措施”。</w:t>
      </w:r>
    </w:p>
    <w:p w:rsidR="00000000" w:rsidRDefault="00000000">
      <w:pPr>
        <w:rPr>
          <w:rFonts w:hint="eastAsia"/>
        </w:rPr>
      </w:pPr>
      <w:r>
        <w:rPr>
          <w:rFonts w:hint="eastAsia"/>
        </w:rPr>
        <w:tab/>
        <w:t xml:space="preserve">77.  </w:t>
      </w:r>
      <w:r>
        <w:rPr>
          <w:rFonts w:hint="eastAsia"/>
        </w:rPr>
        <w:t>克罗地亚职业介绍厅拟订子五项新方案，其目的是同时从若干方面影响劳动市场的趋势，以便减少失业率、开创新就业机会、帮助经济的结构改革、减少劳动市场的供应和需求之间在地理上和在资格结构方面的结构不平衡。本报告将介绍这些方案、方案已得到执行的程度、并分析个别方案对劳动市场的影响。</w:t>
      </w:r>
    </w:p>
    <w:p w:rsidR="00000000" w:rsidRDefault="00000000">
      <w:pPr>
        <w:spacing w:after="320"/>
        <w:rPr>
          <w:rFonts w:hint="eastAsia"/>
        </w:rPr>
      </w:pPr>
      <w:r>
        <w:rPr>
          <w:rFonts w:hint="eastAsia"/>
        </w:rPr>
        <w:tab/>
        <w:t xml:space="preserve">78.  </w:t>
      </w:r>
      <w:r>
        <w:rPr>
          <w:rFonts w:hint="eastAsia"/>
        </w:rPr>
        <w:t>克罗地亚共和国政府在</w:t>
      </w:r>
      <w:r>
        <w:rPr>
          <w:rFonts w:hint="eastAsia"/>
        </w:rPr>
        <w:t>1998</w:t>
      </w:r>
      <w:r>
        <w:rPr>
          <w:rFonts w:hint="eastAsia"/>
        </w:rPr>
        <w:t>年</w:t>
      </w:r>
      <w:r>
        <w:rPr>
          <w:rFonts w:hint="eastAsia"/>
        </w:rPr>
        <w:t>4</w:t>
      </w:r>
      <w:r>
        <w:rPr>
          <w:rFonts w:hint="eastAsia"/>
        </w:rPr>
        <w:t>月</w:t>
      </w:r>
      <w:r>
        <w:rPr>
          <w:rFonts w:hint="eastAsia"/>
        </w:rPr>
        <w:t>23</w:t>
      </w:r>
      <w:r>
        <w:rPr>
          <w:rFonts w:hint="eastAsia"/>
        </w:rPr>
        <w:t>日的会议上从议会授予它的任务出发接受了第一个国家就业政策执行措施方案。对第一个方案是否成功进行的分析表明，奖励措施不够强有力，不足以开创新的就业机会。</w:t>
      </w:r>
      <w:r>
        <w:rPr>
          <w:rFonts w:hint="eastAsia"/>
        </w:rPr>
        <w:t>1998</w:t>
      </w:r>
      <w:r>
        <w:rPr>
          <w:rFonts w:hint="eastAsia"/>
        </w:rPr>
        <w:t>年</w:t>
      </w:r>
      <w:r>
        <w:rPr>
          <w:rFonts w:hint="eastAsia"/>
        </w:rPr>
        <w:t>10</w:t>
      </w:r>
      <w:r>
        <w:rPr>
          <w:rFonts w:hint="eastAsia"/>
        </w:rPr>
        <w:t>月在第二个方案范围内制订了新的措施，这些措施目前仍在执行中。新方案的内容如下：</w:t>
      </w:r>
    </w:p>
    <w:p w:rsidR="00000000" w:rsidRDefault="00000000">
      <w:pPr>
        <w:pStyle w:val="Heading4"/>
        <w:rPr>
          <w:rFonts w:hint="eastAsia"/>
        </w:rPr>
      </w:pPr>
      <w:r>
        <w:rPr>
          <w:rFonts w:hint="eastAsia"/>
        </w:rPr>
        <w:t>措施</w:t>
      </w:r>
      <w:r>
        <w:rPr>
          <w:rFonts w:hint="eastAsia"/>
        </w:rPr>
        <w:t>1</w:t>
      </w:r>
      <w:r>
        <w:rPr>
          <w:rFonts w:hint="eastAsia"/>
          <w:spacing w:val="-40"/>
          <w:sz w:val="22"/>
        </w:rPr>
        <w:t>——</w:t>
      </w:r>
      <w:r>
        <w:rPr>
          <w:sz w:val="22"/>
        </w:rPr>
        <w:t xml:space="preserve"> </w:t>
      </w:r>
      <w:r>
        <w:rPr>
          <w:rFonts w:hint="eastAsia"/>
        </w:rPr>
        <w:t>共同资助无经验的年青人</w:t>
      </w:r>
      <w:r>
        <w:rPr>
          <w:rFonts w:hint="eastAsia"/>
        </w:rPr>
        <w:t>(30</w:t>
      </w:r>
      <w:r>
        <w:rPr>
          <w:rFonts w:hint="eastAsia"/>
        </w:rPr>
        <w:t>岁以下</w:t>
      </w:r>
      <w:r>
        <w:rPr>
          <w:rFonts w:hint="eastAsia"/>
        </w:rPr>
        <w:t>)</w:t>
      </w:r>
      <w:r>
        <w:rPr>
          <w:rFonts w:hint="eastAsia"/>
        </w:rPr>
        <w:t>在他们受过训练的行业中就业</w:t>
      </w:r>
    </w:p>
    <w:p w:rsidR="00000000" w:rsidRDefault="00000000">
      <w:pPr>
        <w:spacing w:after="320"/>
        <w:rPr>
          <w:rFonts w:hint="eastAsia"/>
        </w:rPr>
      </w:pPr>
      <w:r>
        <w:rPr>
          <w:rFonts w:hint="eastAsia"/>
        </w:rPr>
        <w:tab/>
      </w:r>
      <w:r>
        <w:rPr>
          <w:rFonts w:hint="eastAsia"/>
        </w:rPr>
        <w:t>这项措施的目的是防止新进入劳动市场的年青人长期失业，因为这是既得人力资源的损失。雇主如雇用在职业介绍厅登记的这一类别的人，可在一年期间内得到多达其分摊款项数额</w:t>
      </w:r>
      <w:r>
        <w:rPr>
          <w:rFonts w:hint="eastAsia"/>
        </w:rPr>
        <w:t>(</w:t>
      </w:r>
      <w:r>
        <w:rPr>
          <w:rFonts w:hint="eastAsia"/>
        </w:rPr>
        <w:t>约为</w:t>
      </w:r>
      <w:r>
        <w:rPr>
          <w:rFonts w:hint="eastAsia"/>
        </w:rPr>
        <w:t>42%</w:t>
      </w:r>
      <w:r>
        <w:rPr>
          <w:rFonts w:hint="eastAsia"/>
        </w:rPr>
        <w:t>的工资毛额</w:t>
      </w:r>
      <w:r>
        <w:rPr>
          <w:rFonts w:hint="eastAsia"/>
        </w:rPr>
        <w:t>)</w:t>
      </w:r>
      <w:r>
        <w:rPr>
          <w:rFonts w:hint="eastAsia"/>
        </w:rPr>
        <w:t>的部分工资毛额退款。雇主不得在共同资助期间内减少雇员人数，而且共同资助的人必须被雇用共同资助期间两倍长的时间，即两年。这样，从</w:t>
      </w:r>
      <w:r>
        <w:rPr>
          <w:rFonts w:hint="eastAsia"/>
        </w:rPr>
        <w:t>1998</w:t>
      </w:r>
      <w:r>
        <w:rPr>
          <w:rFonts w:hint="eastAsia"/>
        </w:rPr>
        <w:t>年</w:t>
      </w:r>
      <w:r>
        <w:rPr>
          <w:rFonts w:hint="eastAsia"/>
        </w:rPr>
        <w:t>6</w:t>
      </w:r>
      <w:r>
        <w:rPr>
          <w:rFonts w:hint="eastAsia"/>
        </w:rPr>
        <w:t>月至</w:t>
      </w:r>
      <w:r>
        <w:rPr>
          <w:rFonts w:hint="eastAsia"/>
        </w:rPr>
        <w:t>1999</w:t>
      </w:r>
      <w:r>
        <w:rPr>
          <w:rFonts w:hint="eastAsia"/>
        </w:rPr>
        <w:t>年</w:t>
      </w:r>
      <w:r>
        <w:rPr>
          <w:rFonts w:hint="eastAsia"/>
        </w:rPr>
        <w:t>10</w:t>
      </w:r>
      <w:r>
        <w:rPr>
          <w:rFonts w:hint="eastAsia"/>
        </w:rPr>
        <w:t>月</w:t>
      </w:r>
      <w:r>
        <w:rPr>
          <w:rFonts w:hint="eastAsia"/>
        </w:rPr>
        <w:t>31</w:t>
      </w:r>
      <w:r>
        <w:rPr>
          <w:rFonts w:hint="eastAsia"/>
        </w:rPr>
        <w:t>日有</w:t>
      </w:r>
      <w:r>
        <w:rPr>
          <w:rFonts w:hint="eastAsia"/>
        </w:rPr>
        <w:t>3,844</w:t>
      </w:r>
      <w:r>
        <w:rPr>
          <w:rFonts w:hint="eastAsia"/>
        </w:rPr>
        <w:t>个在职业介绍厅登记的人获得就业。</w:t>
      </w:r>
    </w:p>
    <w:p w:rsidR="00000000" w:rsidRDefault="00000000">
      <w:pPr>
        <w:pStyle w:val="Heading4"/>
        <w:rPr>
          <w:rFonts w:hint="eastAsia"/>
        </w:rPr>
      </w:pPr>
      <w:r>
        <w:rPr>
          <w:rFonts w:hint="eastAsia"/>
        </w:rPr>
        <w:t>措施</w:t>
      </w:r>
      <w:r>
        <w:rPr>
          <w:rFonts w:hint="eastAsia"/>
        </w:rPr>
        <w:t>2</w:t>
      </w:r>
      <w:r>
        <w:rPr>
          <w:rFonts w:hint="eastAsia"/>
          <w:spacing w:val="-40"/>
          <w:sz w:val="22"/>
        </w:rPr>
        <w:t>——</w:t>
      </w:r>
      <w:r>
        <w:rPr>
          <w:sz w:val="22"/>
        </w:rPr>
        <w:t xml:space="preserve"> </w:t>
      </w:r>
      <w:r>
        <w:rPr>
          <w:rFonts w:hint="eastAsia"/>
        </w:rPr>
        <w:t>共同资助新受雇的人正式参加工作和培训的费用</w:t>
      </w:r>
    </w:p>
    <w:p w:rsidR="00000000" w:rsidRDefault="00000000">
      <w:pPr>
        <w:spacing w:after="320"/>
        <w:rPr>
          <w:rFonts w:hint="eastAsia"/>
        </w:rPr>
      </w:pPr>
      <w:r>
        <w:rPr>
          <w:rFonts w:hint="eastAsia"/>
        </w:rPr>
        <w:tab/>
      </w:r>
      <w:r>
        <w:rPr>
          <w:rFonts w:hint="eastAsia"/>
        </w:rPr>
        <w:t>这项措施的目的是让雇主能够使新雇用的工人具有符合工作需要的资格。资格培训可以在工作中以及在培训机构中进行，或通过这两种办法的组合进行。共同资助培训方案的期间为一年，偿还的费用可达按工资毛额确定的摊款数额。雇用必须在一年内保持现有的雇员人数，并且将共同资助的人雇用共同资助期间两倍长的时间。这项措施没有年龄限制。这样，从</w:t>
      </w:r>
      <w:r>
        <w:rPr>
          <w:rFonts w:hint="eastAsia"/>
        </w:rPr>
        <w:t>1998</w:t>
      </w:r>
      <w:r>
        <w:rPr>
          <w:rFonts w:hint="eastAsia"/>
        </w:rPr>
        <w:t>年</w:t>
      </w:r>
      <w:r>
        <w:rPr>
          <w:rFonts w:hint="eastAsia"/>
        </w:rPr>
        <w:t>6</w:t>
      </w:r>
      <w:r>
        <w:rPr>
          <w:rFonts w:hint="eastAsia"/>
        </w:rPr>
        <w:t>月至</w:t>
      </w:r>
      <w:r>
        <w:rPr>
          <w:rFonts w:hint="eastAsia"/>
        </w:rPr>
        <w:t>1999</w:t>
      </w:r>
      <w:r>
        <w:rPr>
          <w:rFonts w:hint="eastAsia"/>
        </w:rPr>
        <w:t>年</w:t>
      </w:r>
      <w:r>
        <w:rPr>
          <w:rFonts w:hint="eastAsia"/>
        </w:rPr>
        <w:t>10</w:t>
      </w:r>
      <w:r>
        <w:rPr>
          <w:rFonts w:hint="eastAsia"/>
        </w:rPr>
        <w:t>月</w:t>
      </w:r>
      <w:r>
        <w:rPr>
          <w:rFonts w:hint="eastAsia"/>
        </w:rPr>
        <w:t>31</w:t>
      </w:r>
      <w:r>
        <w:rPr>
          <w:rFonts w:hint="eastAsia"/>
        </w:rPr>
        <w:t>日有</w:t>
      </w:r>
      <w:r>
        <w:rPr>
          <w:rFonts w:hint="eastAsia"/>
        </w:rPr>
        <w:t>4,041</w:t>
      </w:r>
      <w:r>
        <w:rPr>
          <w:rFonts w:hint="eastAsia"/>
        </w:rPr>
        <w:t>人获得就业。</w:t>
      </w:r>
    </w:p>
    <w:p w:rsidR="00000000" w:rsidRDefault="00000000">
      <w:pPr>
        <w:pStyle w:val="Heading4"/>
        <w:rPr>
          <w:rFonts w:hint="eastAsia"/>
        </w:rPr>
      </w:pPr>
      <w:r>
        <w:rPr>
          <w:rFonts w:hint="eastAsia"/>
        </w:rPr>
        <w:t>措施</w:t>
      </w:r>
      <w:r>
        <w:rPr>
          <w:rFonts w:hint="eastAsia"/>
        </w:rPr>
        <w:t>3</w:t>
      </w:r>
      <w:r>
        <w:rPr>
          <w:rFonts w:hint="eastAsia"/>
          <w:spacing w:val="-40"/>
          <w:sz w:val="22"/>
        </w:rPr>
        <w:t>——</w:t>
      </w:r>
      <w:r>
        <w:rPr>
          <w:sz w:val="22"/>
        </w:rPr>
        <w:t xml:space="preserve"> </w:t>
      </w:r>
      <w:r>
        <w:rPr>
          <w:rFonts w:hint="eastAsia"/>
        </w:rPr>
        <w:t>为供应短缺的行业进行再培训和额外培训</w:t>
      </w:r>
    </w:p>
    <w:p w:rsidR="00000000" w:rsidRDefault="00000000">
      <w:pPr>
        <w:rPr>
          <w:rFonts w:hint="eastAsia"/>
        </w:rPr>
      </w:pPr>
      <w:r>
        <w:rPr>
          <w:rFonts w:hint="eastAsia"/>
        </w:rPr>
        <w:tab/>
      </w:r>
      <w:r>
        <w:rPr>
          <w:rFonts w:hint="eastAsia"/>
        </w:rPr>
        <w:t>这项措施的目的是减少劳动市场供应和需求之间的结构不平衡。雇主如果不能从职业介绍厅登记簿上得到所需行业技能的人，其进行再培训和额外培训的费用可得到多达</w:t>
      </w:r>
      <w:r>
        <w:rPr>
          <w:rFonts w:hint="eastAsia"/>
        </w:rPr>
        <w:t>60%</w:t>
      </w:r>
      <w:r>
        <w:rPr>
          <w:rFonts w:hint="eastAsia"/>
        </w:rPr>
        <w:t>至</w:t>
      </w:r>
      <w:r>
        <w:rPr>
          <w:rFonts w:hint="eastAsia"/>
        </w:rPr>
        <w:t>80%</w:t>
      </w:r>
      <w:r>
        <w:rPr>
          <w:rFonts w:hint="eastAsia"/>
        </w:rPr>
        <w:t>的资助。在培训期间雇主必须定期雇用工人，在培训之后必须无限期雇用他们，至少必须雇用他们</w:t>
      </w:r>
      <w:r>
        <w:rPr>
          <w:rFonts w:hint="eastAsia"/>
        </w:rPr>
        <w:t>24</w:t>
      </w:r>
      <w:r>
        <w:rPr>
          <w:rFonts w:hint="eastAsia"/>
        </w:rPr>
        <w:t>个月。造船商主要利用这项措施雇用焊工、管道装配工等供应短缺行业的工人。关于操作炸药的专家，培训了一些进行扫雷工作的人。</w:t>
      </w:r>
    </w:p>
    <w:p w:rsidR="00000000" w:rsidRDefault="00000000">
      <w:pPr>
        <w:rPr>
          <w:rFonts w:hint="eastAsia"/>
        </w:rPr>
      </w:pPr>
      <w:r>
        <w:rPr>
          <w:rFonts w:hint="eastAsia"/>
        </w:rPr>
        <w:tab/>
      </w:r>
      <w:r>
        <w:rPr>
          <w:rFonts w:hint="eastAsia"/>
        </w:rPr>
        <w:t>同某一知名雇主一样，职业介绍厅通过这项措施对从事的行业人员过剩因而无法找到工作的失业者进行培训。市场上最抢手的行业是电脑操作员、商务秘书、建筑业等。</w:t>
      </w:r>
    </w:p>
    <w:p w:rsidR="00000000" w:rsidRDefault="00000000">
      <w:pPr>
        <w:rPr>
          <w:rFonts w:hint="eastAsia"/>
        </w:rPr>
      </w:pPr>
      <w:r>
        <w:rPr>
          <w:rFonts w:hint="eastAsia"/>
        </w:rPr>
        <w:tab/>
      </w:r>
      <w:r>
        <w:rPr>
          <w:rFonts w:hint="eastAsia"/>
        </w:rPr>
        <w:t>这项措施也可在多余工作人员管理方案内适用，以便使雇员的资格结构适合新的需要，目的是保持现有的雇用人数。</w:t>
      </w:r>
    </w:p>
    <w:p w:rsidR="00000000" w:rsidRDefault="00000000">
      <w:pPr>
        <w:rPr>
          <w:rFonts w:hint="eastAsia"/>
        </w:rPr>
      </w:pPr>
      <w:r>
        <w:rPr>
          <w:rFonts w:hint="eastAsia"/>
        </w:rPr>
        <w:tab/>
      </w:r>
      <w:r>
        <w:rPr>
          <w:rFonts w:hint="eastAsia"/>
        </w:rPr>
        <w:t>这项措施接受了职业介绍厅登记簿上的</w:t>
      </w:r>
      <w:r>
        <w:rPr>
          <w:rFonts w:hint="eastAsia"/>
        </w:rPr>
        <w:t>604</w:t>
      </w:r>
      <w:r>
        <w:rPr>
          <w:rFonts w:hint="eastAsia"/>
        </w:rPr>
        <w:t>名前军人，他们在所有措施中都比所有其他求职者优先受惠。</w:t>
      </w:r>
    </w:p>
    <w:p w:rsidR="00000000" w:rsidRDefault="00000000">
      <w:pPr>
        <w:rPr>
          <w:rFonts w:hint="eastAsia"/>
        </w:rPr>
      </w:pPr>
      <w:r>
        <w:rPr>
          <w:rFonts w:hint="eastAsia"/>
        </w:rPr>
        <w:tab/>
      </w:r>
      <w:r>
        <w:rPr>
          <w:rFonts w:hint="eastAsia"/>
        </w:rPr>
        <w:t>这项措施也可满足季节性劳动力的额外培训需要，这对于旅游季节特别重要。</w:t>
      </w:r>
    </w:p>
    <w:p w:rsidR="00000000" w:rsidRDefault="00000000">
      <w:pPr>
        <w:spacing w:after="320"/>
        <w:rPr>
          <w:rFonts w:hint="eastAsia"/>
        </w:rPr>
      </w:pPr>
      <w:r>
        <w:rPr>
          <w:rFonts w:hint="eastAsia"/>
        </w:rPr>
        <w:tab/>
      </w:r>
      <w:r>
        <w:rPr>
          <w:rFonts w:hint="eastAsia"/>
        </w:rPr>
        <w:t>在上面提到的期间内，措施</w:t>
      </w:r>
      <w:r>
        <w:rPr>
          <w:rFonts w:hint="eastAsia"/>
        </w:rPr>
        <w:t>3</w:t>
      </w:r>
      <w:r>
        <w:rPr>
          <w:rFonts w:hint="eastAsia"/>
        </w:rPr>
        <w:t>接受了</w:t>
      </w:r>
      <w:r>
        <w:rPr>
          <w:rFonts w:hint="eastAsia"/>
        </w:rPr>
        <w:t>2,549</w:t>
      </w:r>
      <w:r>
        <w:rPr>
          <w:rFonts w:hint="eastAsia"/>
        </w:rPr>
        <w:t>人。</w:t>
      </w:r>
    </w:p>
    <w:p w:rsidR="00000000" w:rsidRDefault="00000000">
      <w:pPr>
        <w:pStyle w:val="Heading4"/>
        <w:ind w:left="1155" w:hanging="1155"/>
        <w:rPr>
          <w:rFonts w:hint="eastAsia"/>
        </w:rPr>
      </w:pPr>
      <w:r>
        <w:rPr>
          <w:rFonts w:hint="eastAsia"/>
        </w:rPr>
        <w:t>措施</w:t>
      </w:r>
      <w:r>
        <w:rPr>
          <w:rFonts w:hint="eastAsia"/>
        </w:rPr>
        <w:t>4</w:t>
      </w:r>
      <w:r>
        <w:rPr>
          <w:rFonts w:hint="eastAsia"/>
          <w:spacing w:val="-40"/>
          <w:sz w:val="22"/>
        </w:rPr>
        <w:t>——</w:t>
      </w:r>
      <w:r>
        <w:rPr>
          <w:sz w:val="22"/>
        </w:rPr>
        <w:t xml:space="preserve"> </w:t>
      </w:r>
      <w:r>
        <w:rPr>
          <w:rFonts w:hint="eastAsia"/>
        </w:rPr>
        <w:t>共同资助克罗地亚军人以及在独立战争中死亡和失踪军人的失业子女和配偶就业</w:t>
      </w:r>
    </w:p>
    <w:p w:rsidR="00000000" w:rsidRDefault="00000000">
      <w:pPr>
        <w:spacing w:after="240"/>
        <w:rPr>
          <w:rFonts w:hint="eastAsia"/>
        </w:rPr>
      </w:pPr>
      <w:r>
        <w:rPr>
          <w:rFonts w:hint="eastAsia"/>
        </w:rPr>
        <w:tab/>
      </w:r>
      <w:r>
        <w:rPr>
          <w:rFonts w:hint="eastAsia"/>
        </w:rPr>
        <w:t>共同资助这一类别的人是优先事项，可得到非常高额的补贴。雇用前军人的雇主在工作的第一年只需要支付</w:t>
      </w:r>
      <w:r>
        <w:rPr>
          <w:rFonts w:hint="eastAsia"/>
        </w:rPr>
        <w:t>30%</w:t>
      </w:r>
      <w:r>
        <w:rPr>
          <w:rFonts w:hint="eastAsia"/>
        </w:rPr>
        <w:t>的工资毛额，即每一季度可得到</w:t>
      </w:r>
      <w:r>
        <w:rPr>
          <w:rFonts w:hint="eastAsia"/>
        </w:rPr>
        <w:t>70%</w:t>
      </w:r>
      <w:r>
        <w:rPr>
          <w:rFonts w:hint="eastAsia"/>
        </w:rPr>
        <w:t>的工资退款。在第二年得到</w:t>
      </w:r>
      <w:r>
        <w:rPr>
          <w:rFonts w:hint="eastAsia"/>
        </w:rPr>
        <w:t>50%</w:t>
      </w:r>
      <w:r>
        <w:rPr>
          <w:rFonts w:hint="eastAsia"/>
        </w:rPr>
        <w:t>工资毛额的退款。这样，有</w:t>
      </w:r>
      <w:r>
        <w:rPr>
          <w:rFonts w:hint="eastAsia"/>
        </w:rPr>
        <w:t>2,014</w:t>
      </w:r>
      <w:r>
        <w:rPr>
          <w:rFonts w:hint="eastAsia"/>
        </w:rPr>
        <w:t>名克罗地亚前军人获得就业。</w:t>
      </w:r>
    </w:p>
    <w:p w:rsidR="00000000" w:rsidRDefault="00000000">
      <w:pPr>
        <w:pStyle w:val="Heading3"/>
        <w:rPr>
          <w:rFonts w:hint="eastAsia"/>
        </w:rPr>
      </w:pPr>
      <w:r>
        <w:t>1998</w:t>
      </w:r>
      <w:r>
        <w:rPr>
          <w:rFonts w:hint="eastAsia"/>
        </w:rPr>
        <w:t>年</w:t>
      </w:r>
      <w:r>
        <w:rPr>
          <w:rFonts w:hint="eastAsia"/>
        </w:rPr>
        <w:t>6</w:t>
      </w:r>
      <w:r>
        <w:rPr>
          <w:rFonts w:hint="eastAsia"/>
        </w:rPr>
        <w:t>月至</w:t>
      </w:r>
      <w:r>
        <w:rPr>
          <w:rFonts w:hint="eastAsia"/>
        </w:rPr>
        <w:t>1999</w:t>
      </w:r>
      <w:r>
        <w:rPr>
          <w:rFonts w:hint="eastAsia"/>
        </w:rPr>
        <w:t>年</w:t>
      </w:r>
      <w:r>
        <w:rPr>
          <w:rFonts w:hint="eastAsia"/>
        </w:rPr>
        <w:t>10</w:t>
      </w:r>
      <w:r>
        <w:rPr>
          <w:rFonts w:hint="eastAsia"/>
        </w:rPr>
        <w:t>月期间积极政策措施的执行概况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1155"/>
        <w:gridCol w:w="1050"/>
        <w:gridCol w:w="1050"/>
        <w:gridCol w:w="945"/>
        <w:gridCol w:w="1050"/>
        <w:gridCol w:w="1613"/>
        <w:gridCol w:w="1197"/>
      </w:tblGrid>
      <w:tr w:rsidR="00000000">
        <w:tblPrEx>
          <w:tblCellMar>
            <w:top w:w="0" w:type="dxa"/>
            <w:bottom w:w="0" w:type="dxa"/>
          </w:tblCellMar>
        </w:tblPrEx>
        <w:tc>
          <w:tcPr>
            <w:tcW w:w="948" w:type="dxa"/>
            <w:tcBorders>
              <w:top w:val="nil"/>
              <w:left w:val="nil"/>
              <w:bottom w:val="single" w:sz="4" w:space="0" w:color="auto"/>
              <w:right w:val="nil"/>
            </w:tcBorders>
          </w:tcPr>
          <w:p w:rsidR="00000000" w:rsidRDefault="00000000">
            <w:pPr>
              <w:jc w:val="center"/>
              <w:rPr>
                <w:rFonts w:hint="eastAsia"/>
                <w:sz w:val="20"/>
              </w:rPr>
            </w:pPr>
          </w:p>
        </w:tc>
        <w:tc>
          <w:tcPr>
            <w:tcW w:w="1155" w:type="dxa"/>
            <w:tcBorders>
              <w:top w:val="nil"/>
              <w:left w:val="nil"/>
              <w:bottom w:val="single" w:sz="4" w:space="0" w:color="auto"/>
              <w:right w:val="single" w:sz="4" w:space="0" w:color="auto"/>
            </w:tcBorders>
          </w:tcPr>
          <w:p w:rsidR="00000000" w:rsidRDefault="00000000">
            <w:pPr>
              <w:jc w:val="center"/>
              <w:rPr>
                <w:rFonts w:hint="eastAsia"/>
                <w:sz w:val="20"/>
              </w:rPr>
            </w:pPr>
          </w:p>
        </w:tc>
        <w:tc>
          <w:tcPr>
            <w:tcW w:w="1050" w:type="dxa"/>
            <w:tcBorders>
              <w:left w:val="single" w:sz="4" w:space="0" w:color="auto"/>
            </w:tcBorders>
          </w:tcPr>
          <w:p w:rsidR="00000000" w:rsidRDefault="00000000">
            <w:pPr>
              <w:jc w:val="center"/>
              <w:rPr>
                <w:rFonts w:hint="eastAsia"/>
                <w:sz w:val="20"/>
              </w:rPr>
            </w:pPr>
            <w:r>
              <w:rPr>
                <w:rFonts w:hint="eastAsia"/>
                <w:sz w:val="20"/>
              </w:rPr>
              <w:t>措施</w:t>
            </w:r>
            <w:r>
              <w:rPr>
                <w:rFonts w:hint="eastAsia"/>
                <w:sz w:val="20"/>
              </w:rPr>
              <w:t>1</w:t>
            </w:r>
          </w:p>
        </w:tc>
        <w:tc>
          <w:tcPr>
            <w:tcW w:w="1050" w:type="dxa"/>
          </w:tcPr>
          <w:p w:rsidR="00000000" w:rsidRDefault="00000000">
            <w:pPr>
              <w:jc w:val="center"/>
              <w:rPr>
                <w:rFonts w:hint="eastAsia"/>
                <w:sz w:val="20"/>
              </w:rPr>
            </w:pPr>
            <w:r>
              <w:rPr>
                <w:rFonts w:hint="eastAsia"/>
                <w:sz w:val="20"/>
              </w:rPr>
              <w:t>措施</w:t>
            </w:r>
            <w:r>
              <w:rPr>
                <w:rFonts w:hint="eastAsia"/>
                <w:sz w:val="20"/>
              </w:rPr>
              <w:t>2</w:t>
            </w:r>
          </w:p>
        </w:tc>
        <w:tc>
          <w:tcPr>
            <w:tcW w:w="945" w:type="dxa"/>
          </w:tcPr>
          <w:p w:rsidR="00000000" w:rsidRDefault="00000000">
            <w:pPr>
              <w:jc w:val="center"/>
              <w:rPr>
                <w:rFonts w:hint="eastAsia"/>
                <w:sz w:val="20"/>
              </w:rPr>
            </w:pPr>
            <w:r>
              <w:rPr>
                <w:rFonts w:hint="eastAsia"/>
                <w:sz w:val="20"/>
              </w:rPr>
              <w:t>措施</w:t>
            </w:r>
            <w:r>
              <w:rPr>
                <w:rFonts w:hint="eastAsia"/>
                <w:sz w:val="20"/>
              </w:rPr>
              <w:t>3</w:t>
            </w:r>
          </w:p>
        </w:tc>
        <w:tc>
          <w:tcPr>
            <w:tcW w:w="1050" w:type="dxa"/>
          </w:tcPr>
          <w:p w:rsidR="00000000" w:rsidRDefault="00000000">
            <w:pPr>
              <w:jc w:val="center"/>
              <w:rPr>
                <w:rFonts w:hint="eastAsia"/>
                <w:sz w:val="20"/>
              </w:rPr>
            </w:pPr>
            <w:r>
              <w:rPr>
                <w:rFonts w:hint="eastAsia"/>
                <w:sz w:val="20"/>
              </w:rPr>
              <w:t>措施</w:t>
            </w:r>
            <w:r>
              <w:rPr>
                <w:rFonts w:hint="eastAsia"/>
                <w:sz w:val="20"/>
              </w:rPr>
              <w:t>4</w:t>
            </w:r>
          </w:p>
        </w:tc>
        <w:tc>
          <w:tcPr>
            <w:tcW w:w="1613" w:type="dxa"/>
          </w:tcPr>
          <w:p w:rsidR="00000000" w:rsidRDefault="00000000">
            <w:pPr>
              <w:ind w:left="-57" w:right="-57"/>
              <w:jc w:val="center"/>
              <w:rPr>
                <w:rFonts w:hint="eastAsia"/>
                <w:spacing w:val="0"/>
                <w:sz w:val="20"/>
              </w:rPr>
            </w:pPr>
            <w:r>
              <w:rPr>
                <w:rFonts w:hint="eastAsia"/>
                <w:spacing w:val="0"/>
                <w:sz w:val="20"/>
              </w:rPr>
              <w:t>花费的资源</w:t>
            </w:r>
          </w:p>
        </w:tc>
        <w:tc>
          <w:tcPr>
            <w:tcW w:w="1197" w:type="dxa"/>
          </w:tcPr>
          <w:p w:rsidR="00000000" w:rsidRDefault="00000000">
            <w:pPr>
              <w:jc w:val="center"/>
              <w:rPr>
                <w:rFonts w:hint="eastAsia"/>
                <w:sz w:val="20"/>
              </w:rPr>
            </w:pPr>
            <w:r>
              <w:rPr>
                <w:rFonts w:hint="eastAsia"/>
                <w:sz w:val="20"/>
              </w:rPr>
              <w:t>总</w:t>
            </w:r>
            <w:r>
              <w:rPr>
                <w:rFonts w:hint="eastAsia"/>
                <w:sz w:val="20"/>
              </w:rPr>
              <w:t xml:space="preserve">  </w:t>
            </w:r>
            <w:r>
              <w:rPr>
                <w:rFonts w:hint="eastAsia"/>
                <w:sz w:val="20"/>
              </w:rPr>
              <w:t>数</w:t>
            </w:r>
          </w:p>
        </w:tc>
      </w:tr>
      <w:tr w:rsidR="00000000">
        <w:tblPrEx>
          <w:tblCellMar>
            <w:top w:w="0" w:type="dxa"/>
            <w:bottom w:w="0" w:type="dxa"/>
          </w:tblCellMar>
        </w:tblPrEx>
        <w:tc>
          <w:tcPr>
            <w:tcW w:w="948" w:type="dxa"/>
            <w:tcBorders>
              <w:top w:val="single" w:sz="4" w:space="0" w:color="auto"/>
            </w:tcBorders>
          </w:tcPr>
          <w:p w:rsidR="00000000" w:rsidRDefault="00000000">
            <w:pPr>
              <w:jc w:val="right"/>
              <w:rPr>
                <w:rFonts w:hint="eastAsia"/>
                <w:sz w:val="20"/>
              </w:rPr>
            </w:pPr>
            <w:r>
              <w:rPr>
                <w:rFonts w:hint="eastAsia"/>
                <w:sz w:val="20"/>
              </w:rPr>
              <w:t>1998</w:t>
            </w:r>
            <w:r>
              <w:rPr>
                <w:rFonts w:hint="eastAsia"/>
                <w:sz w:val="20"/>
              </w:rPr>
              <w:t>年</w:t>
            </w:r>
          </w:p>
        </w:tc>
        <w:tc>
          <w:tcPr>
            <w:tcW w:w="1155" w:type="dxa"/>
            <w:tcBorders>
              <w:top w:val="single" w:sz="4" w:space="0" w:color="auto"/>
            </w:tcBorders>
          </w:tcPr>
          <w:p w:rsidR="00000000" w:rsidRDefault="00000000">
            <w:pPr>
              <w:ind w:left="-57" w:right="-57"/>
              <w:jc w:val="right"/>
              <w:rPr>
                <w:rFonts w:hint="eastAsia"/>
                <w:spacing w:val="0"/>
                <w:sz w:val="20"/>
              </w:rPr>
            </w:pPr>
            <w:r>
              <w:rPr>
                <w:rFonts w:hint="eastAsia"/>
                <w:spacing w:val="0"/>
                <w:sz w:val="20"/>
              </w:rPr>
              <w:t>6</w:t>
            </w:r>
            <w:r>
              <w:rPr>
                <w:rFonts w:hint="eastAsia"/>
                <w:spacing w:val="0"/>
                <w:sz w:val="20"/>
              </w:rPr>
              <w:t>月至</w:t>
            </w:r>
            <w:r>
              <w:rPr>
                <w:rFonts w:hint="eastAsia"/>
                <w:spacing w:val="0"/>
                <w:sz w:val="20"/>
              </w:rPr>
              <w:t>12</w:t>
            </w:r>
            <w:r>
              <w:rPr>
                <w:rFonts w:hint="eastAsia"/>
                <w:spacing w:val="0"/>
                <w:sz w:val="20"/>
              </w:rPr>
              <w:t>月</w:t>
            </w:r>
          </w:p>
        </w:tc>
        <w:tc>
          <w:tcPr>
            <w:tcW w:w="1050" w:type="dxa"/>
          </w:tcPr>
          <w:p w:rsidR="00000000" w:rsidRDefault="00000000">
            <w:pPr>
              <w:ind w:right="170"/>
              <w:jc w:val="right"/>
              <w:rPr>
                <w:rFonts w:hint="eastAsia"/>
                <w:sz w:val="20"/>
              </w:rPr>
            </w:pPr>
            <w:r>
              <w:rPr>
                <w:rFonts w:hint="eastAsia"/>
                <w:sz w:val="20"/>
              </w:rPr>
              <w:t>634</w:t>
            </w:r>
          </w:p>
        </w:tc>
        <w:tc>
          <w:tcPr>
            <w:tcW w:w="1050" w:type="dxa"/>
          </w:tcPr>
          <w:p w:rsidR="00000000" w:rsidRDefault="00000000">
            <w:pPr>
              <w:ind w:right="170"/>
              <w:jc w:val="right"/>
              <w:rPr>
                <w:rFonts w:hint="eastAsia"/>
                <w:sz w:val="20"/>
              </w:rPr>
            </w:pPr>
            <w:r>
              <w:rPr>
                <w:rFonts w:hint="eastAsia"/>
                <w:sz w:val="20"/>
              </w:rPr>
              <w:t>463</w:t>
            </w:r>
          </w:p>
        </w:tc>
        <w:tc>
          <w:tcPr>
            <w:tcW w:w="945" w:type="dxa"/>
          </w:tcPr>
          <w:p w:rsidR="00000000" w:rsidRDefault="00000000">
            <w:pPr>
              <w:ind w:right="170"/>
              <w:jc w:val="right"/>
              <w:rPr>
                <w:rFonts w:hint="eastAsia"/>
                <w:sz w:val="20"/>
              </w:rPr>
            </w:pPr>
            <w:r>
              <w:rPr>
                <w:rFonts w:hint="eastAsia"/>
                <w:sz w:val="20"/>
              </w:rPr>
              <w:t>562</w:t>
            </w:r>
          </w:p>
        </w:tc>
        <w:tc>
          <w:tcPr>
            <w:tcW w:w="1050" w:type="dxa"/>
          </w:tcPr>
          <w:p w:rsidR="00000000" w:rsidRDefault="00000000">
            <w:pPr>
              <w:ind w:right="170"/>
              <w:jc w:val="right"/>
              <w:rPr>
                <w:rFonts w:hint="eastAsia"/>
                <w:sz w:val="20"/>
              </w:rPr>
            </w:pPr>
            <w:r>
              <w:rPr>
                <w:rFonts w:hint="eastAsia"/>
                <w:sz w:val="20"/>
              </w:rPr>
              <w:t>189</w:t>
            </w:r>
          </w:p>
        </w:tc>
        <w:tc>
          <w:tcPr>
            <w:tcW w:w="1613" w:type="dxa"/>
          </w:tcPr>
          <w:p w:rsidR="00000000" w:rsidRDefault="00000000">
            <w:pPr>
              <w:ind w:right="57"/>
              <w:jc w:val="right"/>
              <w:rPr>
                <w:rFonts w:hint="eastAsia"/>
                <w:sz w:val="20"/>
              </w:rPr>
            </w:pPr>
            <w:r>
              <w:rPr>
                <w:rFonts w:hint="eastAsia"/>
                <w:sz w:val="20"/>
              </w:rPr>
              <w:t>2,616,837</w:t>
            </w:r>
          </w:p>
        </w:tc>
        <w:tc>
          <w:tcPr>
            <w:tcW w:w="1197" w:type="dxa"/>
          </w:tcPr>
          <w:p w:rsidR="00000000" w:rsidRDefault="00000000">
            <w:pPr>
              <w:ind w:right="170"/>
              <w:jc w:val="right"/>
              <w:rPr>
                <w:rFonts w:hint="eastAsia"/>
                <w:sz w:val="20"/>
              </w:rPr>
            </w:pPr>
            <w:r>
              <w:rPr>
                <w:rFonts w:hint="eastAsia"/>
                <w:sz w:val="20"/>
              </w:rPr>
              <w:t>1848</w:t>
            </w:r>
          </w:p>
        </w:tc>
      </w:tr>
      <w:tr w:rsidR="00000000">
        <w:tblPrEx>
          <w:tblCellMar>
            <w:top w:w="0" w:type="dxa"/>
            <w:bottom w:w="0" w:type="dxa"/>
          </w:tblCellMar>
        </w:tblPrEx>
        <w:tc>
          <w:tcPr>
            <w:tcW w:w="948" w:type="dxa"/>
            <w:tcBorders>
              <w:bottom w:val="single" w:sz="4" w:space="0" w:color="auto"/>
            </w:tcBorders>
          </w:tcPr>
          <w:p w:rsidR="00000000" w:rsidRDefault="00000000">
            <w:pPr>
              <w:jc w:val="right"/>
              <w:rPr>
                <w:rFonts w:hint="eastAsia"/>
                <w:sz w:val="20"/>
              </w:rPr>
            </w:pPr>
            <w:r>
              <w:rPr>
                <w:rFonts w:hint="eastAsia"/>
                <w:sz w:val="20"/>
              </w:rPr>
              <w:t>1999</w:t>
            </w:r>
            <w:r>
              <w:rPr>
                <w:rFonts w:hint="eastAsia"/>
                <w:sz w:val="20"/>
              </w:rPr>
              <w:t>年</w:t>
            </w:r>
          </w:p>
        </w:tc>
        <w:tc>
          <w:tcPr>
            <w:tcW w:w="1155" w:type="dxa"/>
            <w:tcBorders>
              <w:bottom w:val="single" w:sz="4" w:space="0" w:color="auto"/>
            </w:tcBorders>
          </w:tcPr>
          <w:p w:rsidR="00000000" w:rsidRDefault="00000000">
            <w:pPr>
              <w:jc w:val="right"/>
              <w:rPr>
                <w:rFonts w:hint="eastAsia"/>
                <w:sz w:val="20"/>
              </w:rPr>
            </w:pPr>
            <w:r>
              <w:rPr>
                <w:rFonts w:hint="eastAsia"/>
                <w:sz w:val="20"/>
              </w:rPr>
              <w:t>1</w:t>
            </w:r>
            <w:r>
              <w:rPr>
                <w:rFonts w:hint="eastAsia"/>
                <w:sz w:val="20"/>
              </w:rPr>
              <w:t>月</w:t>
            </w:r>
          </w:p>
        </w:tc>
        <w:tc>
          <w:tcPr>
            <w:tcW w:w="1050" w:type="dxa"/>
          </w:tcPr>
          <w:p w:rsidR="00000000" w:rsidRDefault="00000000">
            <w:pPr>
              <w:ind w:right="170"/>
              <w:jc w:val="right"/>
              <w:rPr>
                <w:rFonts w:hint="eastAsia"/>
                <w:sz w:val="20"/>
              </w:rPr>
            </w:pPr>
            <w:r>
              <w:rPr>
                <w:rFonts w:hint="eastAsia"/>
                <w:sz w:val="20"/>
              </w:rPr>
              <w:t>131</w:t>
            </w:r>
          </w:p>
        </w:tc>
        <w:tc>
          <w:tcPr>
            <w:tcW w:w="1050" w:type="dxa"/>
          </w:tcPr>
          <w:p w:rsidR="00000000" w:rsidRDefault="00000000">
            <w:pPr>
              <w:ind w:right="170"/>
              <w:jc w:val="right"/>
              <w:rPr>
                <w:rFonts w:hint="eastAsia"/>
                <w:sz w:val="20"/>
              </w:rPr>
            </w:pPr>
            <w:r>
              <w:rPr>
                <w:rFonts w:hint="eastAsia"/>
                <w:sz w:val="20"/>
              </w:rPr>
              <w:t>122</w:t>
            </w:r>
          </w:p>
        </w:tc>
        <w:tc>
          <w:tcPr>
            <w:tcW w:w="945" w:type="dxa"/>
          </w:tcPr>
          <w:p w:rsidR="00000000" w:rsidRDefault="00000000">
            <w:pPr>
              <w:ind w:right="170"/>
              <w:jc w:val="right"/>
              <w:rPr>
                <w:rFonts w:hint="eastAsia"/>
                <w:sz w:val="20"/>
              </w:rPr>
            </w:pPr>
            <w:r>
              <w:rPr>
                <w:rFonts w:hint="eastAsia"/>
                <w:sz w:val="20"/>
              </w:rPr>
              <w:t>229</w:t>
            </w:r>
          </w:p>
        </w:tc>
        <w:tc>
          <w:tcPr>
            <w:tcW w:w="1050" w:type="dxa"/>
          </w:tcPr>
          <w:p w:rsidR="00000000" w:rsidRDefault="00000000">
            <w:pPr>
              <w:ind w:right="170"/>
              <w:jc w:val="right"/>
              <w:rPr>
                <w:rFonts w:hint="eastAsia"/>
                <w:sz w:val="20"/>
              </w:rPr>
            </w:pPr>
            <w:r>
              <w:rPr>
                <w:rFonts w:hint="eastAsia"/>
                <w:sz w:val="20"/>
              </w:rPr>
              <w:t>68</w:t>
            </w:r>
          </w:p>
        </w:tc>
        <w:tc>
          <w:tcPr>
            <w:tcW w:w="1613" w:type="dxa"/>
          </w:tcPr>
          <w:p w:rsidR="00000000" w:rsidRDefault="00000000">
            <w:pPr>
              <w:ind w:right="57"/>
              <w:jc w:val="right"/>
              <w:rPr>
                <w:rFonts w:hint="eastAsia"/>
                <w:sz w:val="20"/>
              </w:rPr>
            </w:pPr>
            <w:r>
              <w:rPr>
                <w:rFonts w:hint="eastAsia"/>
                <w:sz w:val="20"/>
              </w:rPr>
              <w:t>2,665,824</w:t>
            </w:r>
          </w:p>
        </w:tc>
        <w:tc>
          <w:tcPr>
            <w:tcW w:w="1197" w:type="dxa"/>
          </w:tcPr>
          <w:p w:rsidR="00000000" w:rsidRDefault="00000000">
            <w:pPr>
              <w:ind w:right="170"/>
              <w:jc w:val="right"/>
              <w:rPr>
                <w:rFonts w:hint="eastAsia"/>
                <w:sz w:val="20"/>
              </w:rPr>
            </w:pPr>
            <w:r>
              <w:rPr>
                <w:rFonts w:hint="eastAsia"/>
                <w:sz w:val="20"/>
              </w:rPr>
              <w:t>550</w:t>
            </w:r>
          </w:p>
        </w:tc>
      </w:tr>
      <w:tr w:rsidR="00000000">
        <w:tblPrEx>
          <w:tblCellMar>
            <w:top w:w="0" w:type="dxa"/>
            <w:bottom w:w="0" w:type="dxa"/>
          </w:tblCellMar>
        </w:tblPrEx>
        <w:tc>
          <w:tcPr>
            <w:tcW w:w="948" w:type="dxa"/>
            <w:tcBorders>
              <w:left w:val="nil"/>
              <w:bottom w:val="nil"/>
              <w:right w:val="single" w:sz="4" w:space="0" w:color="auto"/>
            </w:tcBorders>
          </w:tcPr>
          <w:p w:rsidR="00000000" w:rsidRDefault="00000000">
            <w:pPr>
              <w:jc w:val="right"/>
              <w:rPr>
                <w:rFonts w:hint="eastAsia"/>
                <w:sz w:val="20"/>
              </w:rPr>
            </w:pPr>
          </w:p>
        </w:tc>
        <w:tc>
          <w:tcPr>
            <w:tcW w:w="1155" w:type="dxa"/>
            <w:tcBorders>
              <w:left w:val="single" w:sz="4" w:space="0" w:color="auto"/>
              <w:right w:val="single" w:sz="4" w:space="0" w:color="auto"/>
            </w:tcBorders>
          </w:tcPr>
          <w:p w:rsidR="00000000" w:rsidRDefault="00000000">
            <w:pPr>
              <w:jc w:val="right"/>
              <w:rPr>
                <w:rFonts w:hint="eastAsia"/>
                <w:sz w:val="20"/>
              </w:rPr>
            </w:pPr>
            <w:r>
              <w:rPr>
                <w:rFonts w:hint="eastAsia"/>
                <w:sz w:val="20"/>
              </w:rPr>
              <w:t>2</w:t>
            </w:r>
            <w:r>
              <w:rPr>
                <w:rFonts w:hint="eastAsia"/>
                <w:sz w:val="20"/>
              </w:rPr>
              <w:t>月</w:t>
            </w:r>
          </w:p>
        </w:tc>
        <w:tc>
          <w:tcPr>
            <w:tcW w:w="1050" w:type="dxa"/>
            <w:tcBorders>
              <w:left w:val="single" w:sz="4" w:space="0" w:color="auto"/>
            </w:tcBorders>
          </w:tcPr>
          <w:p w:rsidR="00000000" w:rsidRDefault="00000000">
            <w:pPr>
              <w:ind w:right="170"/>
              <w:jc w:val="right"/>
              <w:rPr>
                <w:rFonts w:hint="eastAsia"/>
                <w:sz w:val="20"/>
              </w:rPr>
            </w:pPr>
            <w:r>
              <w:rPr>
                <w:rFonts w:hint="eastAsia"/>
                <w:sz w:val="20"/>
              </w:rPr>
              <w:t>200</w:t>
            </w:r>
          </w:p>
        </w:tc>
        <w:tc>
          <w:tcPr>
            <w:tcW w:w="1050" w:type="dxa"/>
          </w:tcPr>
          <w:p w:rsidR="00000000" w:rsidRDefault="00000000">
            <w:pPr>
              <w:ind w:right="170"/>
              <w:jc w:val="right"/>
              <w:rPr>
                <w:rFonts w:hint="eastAsia"/>
                <w:sz w:val="20"/>
              </w:rPr>
            </w:pPr>
            <w:r>
              <w:rPr>
                <w:rFonts w:hint="eastAsia"/>
                <w:sz w:val="20"/>
              </w:rPr>
              <w:t>214</w:t>
            </w:r>
          </w:p>
        </w:tc>
        <w:tc>
          <w:tcPr>
            <w:tcW w:w="945" w:type="dxa"/>
          </w:tcPr>
          <w:p w:rsidR="00000000" w:rsidRDefault="00000000">
            <w:pPr>
              <w:ind w:right="170"/>
              <w:jc w:val="right"/>
              <w:rPr>
                <w:rFonts w:hint="eastAsia"/>
                <w:sz w:val="20"/>
              </w:rPr>
            </w:pPr>
            <w:r>
              <w:rPr>
                <w:rFonts w:hint="eastAsia"/>
                <w:sz w:val="20"/>
              </w:rPr>
              <w:t>348</w:t>
            </w:r>
          </w:p>
        </w:tc>
        <w:tc>
          <w:tcPr>
            <w:tcW w:w="1050" w:type="dxa"/>
          </w:tcPr>
          <w:p w:rsidR="00000000" w:rsidRDefault="00000000">
            <w:pPr>
              <w:ind w:right="170"/>
              <w:jc w:val="right"/>
              <w:rPr>
                <w:rFonts w:hint="eastAsia"/>
                <w:sz w:val="20"/>
              </w:rPr>
            </w:pPr>
            <w:r>
              <w:rPr>
                <w:rFonts w:hint="eastAsia"/>
                <w:sz w:val="20"/>
              </w:rPr>
              <w:t>76</w:t>
            </w:r>
          </w:p>
        </w:tc>
        <w:tc>
          <w:tcPr>
            <w:tcW w:w="1613" w:type="dxa"/>
          </w:tcPr>
          <w:p w:rsidR="00000000" w:rsidRDefault="00000000">
            <w:pPr>
              <w:ind w:right="57"/>
              <w:jc w:val="right"/>
              <w:rPr>
                <w:rFonts w:hint="eastAsia"/>
                <w:sz w:val="20"/>
              </w:rPr>
            </w:pPr>
            <w:r>
              <w:rPr>
                <w:rFonts w:hint="eastAsia"/>
                <w:sz w:val="20"/>
              </w:rPr>
              <w:t>4,942,095</w:t>
            </w:r>
          </w:p>
        </w:tc>
        <w:tc>
          <w:tcPr>
            <w:tcW w:w="1197" w:type="dxa"/>
          </w:tcPr>
          <w:p w:rsidR="00000000" w:rsidRDefault="00000000">
            <w:pPr>
              <w:ind w:right="170"/>
              <w:jc w:val="right"/>
              <w:rPr>
                <w:rFonts w:hint="eastAsia"/>
                <w:sz w:val="20"/>
              </w:rPr>
            </w:pPr>
            <w:r>
              <w:rPr>
                <w:rFonts w:hint="eastAsia"/>
                <w:sz w:val="20"/>
              </w:rPr>
              <w:t>838</w:t>
            </w:r>
          </w:p>
        </w:tc>
      </w:tr>
      <w:tr w:rsidR="00000000">
        <w:tblPrEx>
          <w:tblCellMar>
            <w:top w:w="0" w:type="dxa"/>
            <w:bottom w:w="0" w:type="dxa"/>
          </w:tblCellMar>
        </w:tblPrEx>
        <w:tc>
          <w:tcPr>
            <w:tcW w:w="948" w:type="dxa"/>
            <w:tcBorders>
              <w:top w:val="nil"/>
              <w:left w:val="nil"/>
              <w:bottom w:val="nil"/>
              <w:right w:val="single" w:sz="4" w:space="0" w:color="auto"/>
            </w:tcBorders>
          </w:tcPr>
          <w:p w:rsidR="00000000" w:rsidRDefault="00000000">
            <w:pPr>
              <w:jc w:val="right"/>
              <w:rPr>
                <w:rFonts w:hint="eastAsia"/>
                <w:sz w:val="20"/>
              </w:rPr>
            </w:pPr>
          </w:p>
        </w:tc>
        <w:tc>
          <w:tcPr>
            <w:tcW w:w="1155" w:type="dxa"/>
            <w:tcBorders>
              <w:left w:val="single" w:sz="4" w:space="0" w:color="auto"/>
              <w:right w:val="single" w:sz="4" w:space="0" w:color="auto"/>
            </w:tcBorders>
          </w:tcPr>
          <w:p w:rsidR="00000000" w:rsidRDefault="00000000">
            <w:pPr>
              <w:jc w:val="right"/>
              <w:rPr>
                <w:rFonts w:hint="eastAsia"/>
                <w:sz w:val="20"/>
              </w:rPr>
            </w:pPr>
            <w:r>
              <w:rPr>
                <w:rFonts w:hint="eastAsia"/>
                <w:sz w:val="20"/>
              </w:rPr>
              <w:t>3</w:t>
            </w:r>
            <w:r>
              <w:rPr>
                <w:rFonts w:hint="eastAsia"/>
                <w:sz w:val="20"/>
              </w:rPr>
              <w:t>月</w:t>
            </w:r>
          </w:p>
        </w:tc>
        <w:tc>
          <w:tcPr>
            <w:tcW w:w="1050" w:type="dxa"/>
            <w:tcBorders>
              <w:left w:val="single" w:sz="4" w:space="0" w:color="auto"/>
            </w:tcBorders>
          </w:tcPr>
          <w:p w:rsidR="00000000" w:rsidRDefault="00000000">
            <w:pPr>
              <w:ind w:right="170"/>
              <w:jc w:val="right"/>
              <w:rPr>
                <w:rFonts w:hint="eastAsia"/>
                <w:sz w:val="20"/>
              </w:rPr>
            </w:pPr>
            <w:r>
              <w:rPr>
                <w:rFonts w:hint="eastAsia"/>
                <w:sz w:val="20"/>
              </w:rPr>
              <w:t>319</w:t>
            </w:r>
          </w:p>
        </w:tc>
        <w:tc>
          <w:tcPr>
            <w:tcW w:w="1050" w:type="dxa"/>
          </w:tcPr>
          <w:p w:rsidR="00000000" w:rsidRDefault="00000000">
            <w:pPr>
              <w:ind w:right="170"/>
              <w:jc w:val="right"/>
              <w:rPr>
                <w:rFonts w:hint="eastAsia"/>
                <w:sz w:val="20"/>
              </w:rPr>
            </w:pPr>
            <w:r>
              <w:rPr>
                <w:rFonts w:hint="eastAsia"/>
                <w:sz w:val="20"/>
              </w:rPr>
              <w:t>245</w:t>
            </w:r>
          </w:p>
        </w:tc>
        <w:tc>
          <w:tcPr>
            <w:tcW w:w="945" w:type="dxa"/>
          </w:tcPr>
          <w:p w:rsidR="00000000" w:rsidRDefault="00000000">
            <w:pPr>
              <w:ind w:right="170"/>
              <w:jc w:val="right"/>
              <w:rPr>
                <w:rFonts w:hint="eastAsia"/>
                <w:sz w:val="20"/>
              </w:rPr>
            </w:pPr>
            <w:r>
              <w:rPr>
                <w:rFonts w:hint="eastAsia"/>
                <w:sz w:val="20"/>
              </w:rPr>
              <w:t>248</w:t>
            </w:r>
          </w:p>
        </w:tc>
        <w:tc>
          <w:tcPr>
            <w:tcW w:w="1050" w:type="dxa"/>
          </w:tcPr>
          <w:p w:rsidR="00000000" w:rsidRDefault="00000000">
            <w:pPr>
              <w:ind w:right="170"/>
              <w:jc w:val="right"/>
              <w:rPr>
                <w:rFonts w:hint="eastAsia"/>
                <w:sz w:val="20"/>
              </w:rPr>
            </w:pPr>
            <w:r>
              <w:rPr>
                <w:rFonts w:hint="eastAsia"/>
                <w:sz w:val="20"/>
              </w:rPr>
              <w:t>211</w:t>
            </w:r>
          </w:p>
        </w:tc>
        <w:tc>
          <w:tcPr>
            <w:tcW w:w="1613" w:type="dxa"/>
          </w:tcPr>
          <w:p w:rsidR="00000000" w:rsidRDefault="00000000">
            <w:pPr>
              <w:ind w:right="57"/>
              <w:jc w:val="right"/>
              <w:rPr>
                <w:rFonts w:hint="eastAsia"/>
                <w:sz w:val="20"/>
              </w:rPr>
            </w:pPr>
            <w:r>
              <w:rPr>
                <w:rFonts w:hint="eastAsia"/>
                <w:sz w:val="20"/>
              </w:rPr>
              <w:t>5,396,787</w:t>
            </w:r>
          </w:p>
        </w:tc>
        <w:tc>
          <w:tcPr>
            <w:tcW w:w="1197" w:type="dxa"/>
          </w:tcPr>
          <w:p w:rsidR="00000000" w:rsidRDefault="00000000">
            <w:pPr>
              <w:ind w:right="170"/>
              <w:jc w:val="right"/>
              <w:rPr>
                <w:rFonts w:hint="eastAsia"/>
                <w:sz w:val="20"/>
              </w:rPr>
            </w:pPr>
            <w:r>
              <w:rPr>
                <w:rFonts w:hint="eastAsia"/>
                <w:sz w:val="20"/>
              </w:rPr>
              <w:t>1023</w:t>
            </w:r>
          </w:p>
        </w:tc>
      </w:tr>
      <w:tr w:rsidR="00000000">
        <w:tblPrEx>
          <w:tblCellMar>
            <w:top w:w="0" w:type="dxa"/>
            <w:bottom w:w="0" w:type="dxa"/>
          </w:tblCellMar>
        </w:tblPrEx>
        <w:tc>
          <w:tcPr>
            <w:tcW w:w="948" w:type="dxa"/>
            <w:tcBorders>
              <w:top w:val="nil"/>
              <w:left w:val="nil"/>
              <w:bottom w:val="nil"/>
              <w:right w:val="single" w:sz="4" w:space="0" w:color="auto"/>
            </w:tcBorders>
          </w:tcPr>
          <w:p w:rsidR="00000000" w:rsidRDefault="00000000">
            <w:pPr>
              <w:jc w:val="right"/>
              <w:rPr>
                <w:rFonts w:hint="eastAsia"/>
                <w:sz w:val="20"/>
              </w:rPr>
            </w:pPr>
          </w:p>
        </w:tc>
        <w:tc>
          <w:tcPr>
            <w:tcW w:w="1155" w:type="dxa"/>
            <w:tcBorders>
              <w:left w:val="single" w:sz="4" w:space="0" w:color="auto"/>
              <w:right w:val="single" w:sz="4" w:space="0" w:color="auto"/>
            </w:tcBorders>
          </w:tcPr>
          <w:p w:rsidR="00000000" w:rsidRDefault="00000000">
            <w:pPr>
              <w:jc w:val="right"/>
              <w:rPr>
                <w:rFonts w:hint="eastAsia"/>
                <w:sz w:val="20"/>
              </w:rPr>
            </w:pPr>
            <w:r>
              <w:rPr>
                <w:rFonts w:hint="eastAsia"/>
                <w:sz w:val="20"/>
              </w:rPr>
              <w:t>4</w:t>
            </w:r>
            <w:r>
              <w:rPr>
                <w:rFonts w:hint="eastAsia"/>
                <w:sz w:val="20"/>
              </w:rPr>
              <w:t>月</w:t>
            </w:r>
          </w:p>
        </w:tc>
        <w:tc>
          <w:tcPr>
            <w:tcW w:w="1050" w:type="dxa"/>
            <w:tcBorders>
              <w:left w:val="single" w:sz="4" w:space="0" w:color="auto"/>
            </w:tcBorders>
          </w:tcPr>
          <w:p w:rsidR="00000000" w:rsidRDefault="00000000">
            <w:pPr>
              <w:ind w:right="170"/>
              <w:jc w:val="right"/>
              <w:rPr>
                <w:rFonts w:hint="eastAsia"/>
                <w:sz w:val="20"/>
              </w:rPr>
            </w:pPr>
            <w:r>
              <w:rPr>
                <w:rFonts w:hint="eastAsia"/>
                <w:sz w:val="20"/>
              </w:rPr>
              <w:t>356</w:t>
            </w:r>
          </w:p>
        </w:tc>
        <w:tc>
          <w:tcPr>
            <w:tcW w:w="1050" w:type="dxa"/>
          </w:tcPr>
          <w:p w:rsidR="00000000" w:rsidRDefault="00000000">
            <w:pPr>
              <w:ind w:right="170"/>
              <w:jc w:val="right"/>
              <w:rPr>
                <w:rFonts w:hint="eastAsia"/>
                <w:sz w:val="20"/>
              </w:rPr>
            </w:pPr>
            <w:r>
              <w:rPr>
                <w:rFonts w:hint="eastAsia"/>
                <w:sz w:val="20"/>
              </w:rPr>
              <w:t>300</w:t>
            </w:r>
          </w:p>
        </w:tc>
        <w:tc>
          <w:tcPr>
            <w:tcW w:w="945" w:type="dxa"/>
          </w:tcPr>
          <w:p w:rsidR="00000000" w:rsidRDefault="00000000">
            <w:pPr>
              <w:ind w:right="170"/>
              <w:jc w:val="right"/>
              <w:rPr>
                <w:rFonts w:hint="eastAsia"/>
                <w:sz w:val="20"/>
              </w:rPr>
            </w:pPr>
            <w:r>
              <w:rPr>
                <w:rFonts w:hint="eastAsia"/>
                <w:sz w:val="20"/>
              </w:rPr>
              <w:t>539</w:t>
            </w:r>
          </w:p>
        </w:tc>
        <w:tc>
          <w:tcPr>
            <w:tcW w:w="1050" w:type="dxa"/>
          </w:tcPr>
          <w:p w:rsidR="00000000" w:rsidRDefault="00000000">
            <w:pPr>
              <w:ind w:right="170"/>
              <w:jc w:val="right"/>
              <w:rPr>
                <w:rFonts w:hint="eastAsia"/>
                <w:sz w:val="20"/>
              </w:rPr>
            </w:pPr>
            <w:r>
              <w:rPr>
                <w:rFonts w:hint="eastAsia"/>
                <w:sz w:val="20"/>
              </w:rPr>
              <w:t>238</w:t>
            </w:r>
          </w:p>
        </w:tc>
        <w:tc>
          <w:tcPr>
            <w:tcW w:w="1613" w:type="dxa"/>
          </w:tcPr>
          <w:p w:rsidR="00000000" w:rsidRDefault="00000000">
            <w:pPr>
              <w:ind w:right="57"/>
              <w:jc w:val="right"/>
              <w:rPr>
                <w:rFonts w:hint="eastAsia"/>
                <w:sz w:val="20"/>
              </w:rPr>
            </w:pPr>
            <w:r>
              <w:rPr>
                <w:rFonts w:hint="eastAsia"/>
                <w:sz w:val="20"/>
              </w:rPr>
              <w:t>6,545,875</w:t>
            </w:r>
          </w:p>
        </w:tc>
        <w:tc>
          <w:tcPr>
            <w:tcW w:w="1197" w:type="dxa"/>
          </w:tcPr>
          <w:p w:rsidR="00000000" w:rsidRDefault="00000000">
            <w:pPr>
              <w:ind w:right="170"/>
              <w:jc w:val="right"/>
              <w:rPr>
                <w:rFonts w:hint="eastAsia"/>
                <w:sz w:val="20"/>
              </w:rPr>
            </w:pPr>
            <w:r>
              <w:rPr>
                <w:rFonts w:hint="eastAsia"/>
                <w:sz w:val="20"/>
              </w:rPr>
              <w:t>1433</w:t>
            </w:r>
          </w:p>
        </w:tc>
      </w:tr>
      <w:tr w:rsidR="00000000">
        <w:tblPrEx>
          <w:tblCellMar>
            <w:top w:w="0" w:type="dxa"/>
            <w:bottom w:w="0" w:type="dxa"/>
          </w:tblCellMar>
        </w:tblPrEx>
        <w:tc>
          <w:tcPr>
            <w:tcW w:w="948" w:type="dxa"/>
            <w:tcBorders>
              <w:top w:val="nil"/>
              <w:left w:val="nil"/>
              <w:bottom w:val="nil"/>
              <w:right w:val="single" w:sz="4" w:space="0" w:color="auto"/>
            </w:tcBorders>
          </w:tcPr>
          <w:p w:rsidR="00000000" w:rsidRDefault="00000000">
            <w:pPr>
              <w:jc w:val="right"/>
              <w:rPr>
                <w:rFonts w:hint="eastAsia"/>
                <w:sz w:val="20"/>
              </w:rPr>
            </w:pPr>
          </w:p>
        </w:tc>
        <w:tc>
          <w:tcPr>
            <w:tcW w:w="1155" w:type="dxa"/>
            <w:tcBorders>
              <w:left w:val="single" w:sz="4" w:space="0" w:color="auto"/>
              <w:right w:val="single" w:sz="4" w:space="0" w:color="auto"/>
            </w:tcBorders>
          </w:tcPr>
          <w:p w:rsidR="00000000" w:rsidRDefault="00000000">
            <w:pPr>
              <w:jc w:val="right"/>
              <w:rPr>
                <w:rFonts w:hint="eastAsia"/>
                <w:sz w:val="20"/>
              </w:rPr>
            </w:pPr>
            <w:r>
              <w:rPr>
                <w:rFonts w:hint="eastAsia"/>
                <w:sz w:val="20"/>
              </w:rPr>
              <w:t>5</w:t>
            </w:r>
            <w:r>
              <w:rPr>
                <w:rFonts w:hint="eastAsia"/>
                <w:sz w:val="20"/>
              </w:rPr>
              <w:t>月</w:t>
            </w:r>
          </w:p>
        </w:tc>
        <w:tc>
          <w:tcPr>
            <w:tcW w:w="1050" w:type="dxa"/>
            <w:tcBorders>
              <w:left w:val="single" w:sz="4" w:space="0" w:color="auto"/>
            </w:tcBorders>
          </w:tcPr>
          <w:p w:rsidR="00000000" w:rsidRDefault="00000000">
            <w:pPr>
              <w:ind w:right="170"/>
              <w:jc w:val="right"/>
              <w:rPr>
                <w:rFonts w:hint="eastAsia"/>
                <w:sz w:val="20"/>
              </w:rPr>
            </w:pPr>
            <w:r>
              <w:rPr>
                <w:rFonts w:hint="eastAsia"/>
                <w:sz w:val="20"/>
              </w:rPr>
              <w:t>304</w:t>
            </w:r>
          </w:p>
        </w:tc>
        <w:tc>
          <w:tcPr>
            <w:tcW w:w="1050" w:type="dxa"/>
          </w:tcPr>
          <w:p w:rsidR="00000000" w:rsidRDefault="00000000">
            <w:pPr>
              <w:ind w:right="170"/>
              <w:jc w:val="right"/>
              <w:rPr>
                <w:rFonts w:hint="eastAsia"/>
                <w:sz w:val="20"/>
              </w:rPr>
            </w:pPr>
            <w:r>
              <w:rPr>
                <w:rFonts w:hint="eastAsia"/>
                <w:sz w:val="20"/>
              </w:rPr>
              <w:t>369</w:t>
            </w:r>
          </w:p>
        </w:tc>
        <w:tc>
          <w:tcPr>
            <w:tcW w:w="945" w:type="dxa"/>
          </w:tcPr>
          <w:p w:rsidR="00000000" w:rsidRDefault="00000000">
            <w:pPr>
              <w:ind w:right="170"/>
              <w:jc w:val="right"/>
              <w:rPr>
                <w:rFonts w:hint="eastAsia"/>
                <w:sz w:val="20"/>
              </w:rPr>
            </w:pPr>
            <w:r>
              <w:rPr>
                <w:rFonts w:hint="eastAsia"/>
                <w:sz w:val="20"/>
              </w:rPr>
              <w:t>254</w:t>
            </w:r>
          </w:p>
        </w:tc>
        <w:tc>
          <w:tcPr>
            <w:tcW w:w="1050" w:type="dxa"/>
          </w:tcPr>
          <w:p w:rsidR="00000000" w:rsidRDefault="00000000">
            <w:pPr>
              <w:ind w:right="170"/>
              <w:jc w:val="right"/>
              <w:rPr>
                <w:rFonts w:hint="eastAsia"/>
                <w:sz w:val="20"/>
              </w:rPr>
            </w:pPr>
            <w:r>
              <w:rPr>
                <w:rFonts w:hint="eastAsia"/>
                <w:sz w:val="20"/>
              </w:rPr>
              <w:t>204</w:t>
            </w:r>
          </w:p>
        </w:tc>
        <w:tc>
          <w:tcPr>
            <w:tcW w:w="1613" w:type="dxa"/>
          </w:tcPr>
          <w:p w:rsidR="00000000" w:rsidRDefault="00000000">
            <w:pPr>
              <w:ind w:right="57"/>
              <w:jc w:val="right"/>
              <w:rPr>
                <w:rFonts w:hint="eastAsia"/>
                <w:sz w:val="20"/>
              </w:rPr>
            </w:pPr>
            <w:r>
              <w:rPr>
                <w:rFonts w:hint="eastAsia"/>
                <w:sz w:val="20"/>
              </w:rPr>
              <w:t>11,650,637.92</w:t>
            </w:r>
          </w:p>
        </w:tc>
        <w:tc>
          <w:tcPr>
            <w:tcW w:w="1197" w:type="dxa"/>
          </w:tcPr>
          <w:p w:rsidR="00000000" w:rsidRDefault="00000000">
            <w:pPr>
              <w:ind w:right="170"/>
              <w:jc w:val="right"/>
              <w:rPr>
                <w:rFonts w:hint="eastAsia"/>
                <w:sz w:val="20"/>
              </w:rPr>
            </w:pPr>
            <w:r>
              <w:rPr>
                <w:rFonts w:hint="eastAsia"/>
                <w:sz w:val="20"/>
              </w:rPr>
              <w:t>1131</w:t>
            </w:r>
          </w:p>
        </w:tc>
      </w:tr>
      <w:tr w:rsidR="00000000">
        <w:tblPrEx>
          <w:tblCellMar>
            <w:top w:w="0" w:type="dxa"/>
            <w:bottom w:w="0" w:type="dxa"/>
          </w:tblCellMar>
        </w:tblPrEx>
        <w:tc>
          <w:tcPr>
            <w:tcW w:w="948" w:type="dxa"/>
            <w:tcBorders>
              <w:top w:val="nil"/>
              <w:left w:val="nil"/>
              <w:bottom w:val="nil"/>
              <w:right w:val="single" w:sz="4" w:space="0" w:color="auto"/>
            </w:tcBorders>
          </w:tcPr>
          <w:p w:rsidR="00000000" w:rsidRDefault="00000000">
            <w:pPr>
              <w:jc w:val="right"/>
              <w:rPr>
                <w:rFonts w:hint="eastAsia"/>
                <w:sz w:val="20"/>
              </w:rPr>
            </w:pPr>
          </w:p>
        </w:tc>
        <w:tc>
          <w:tcPr>
            <w:tcW w:w="1155" w:type="dxa"/>
            <w:tcBorders>
              <w:left w:val="single" w:sz="4" w:space="0" w:color="auto"/>
              <w:right w:val="single" w:sz="4" w:space="0" w:color="auto"/>
            </w:tcBorders>
          </w:tcPr>
          <w:p w:rsidR="00000000" w:rsidRDefault="00000000">
            <w:pPr>
              <w:jc w:val="right"/>
              <w:rPr>
                <w:rFonts w:hint="eastAsia"/>
                <w:sz w:val="20"/>
              </w:rPr>
            </w:pPr>
            <w:r>
              <w:rPr>
                <w:rFonts w:hint="eastAsia"/>
                <w:sz w:val="20"/>
              </w:rPr>
              <w:t>6</w:t>
            </w:r>
            <w:r>
              <w:rPr>
                <w:rFonts w:hint="eastAsia"/>
                <w:sz w:val="20"/>
              </w:rPr>
              <w:t>月</w:t>
            </w:r>
          </w:p>
        </w:tc>
        <w:tc>
          <w:tcPr>
            <w:tcW w:w="1050" w:type="dxa"/>
            <w:tcBorders>
              <w:left w:val="single" w:sz="4" w:space="0" w:color="auto"/>
            </w:tcBorders>
          </w:tcPr>
          <w:p w:rsidR="00000000" w:rsidRDefault="00000000">
            <w:pPr>
              <w:ind w:right="170"/>
              <w:jc w:val="right"/>
              <w:rPr>
                <w:rFonts w:hint="eastAsia"/>
                <w:sz w:val="20"/>
              </w:rPr>
            </w:pPr>
            <w:r>
              <w:rPr>
                <w:rFonts w:hint="eastAsia"/>
                <w:sz w:val="20"/>
              </w:rPr>
              <w:t>424</w:t>
            </w:r>
          </w:p>
        </w:tc>
        <w:tc>
          <w:tcPr>
            <w:tcW w:w="1050" w:type="dxa"/>
          </w:tcPr>
          <w:p w:rsidR="00000000" w:rsidRDefault="00000000">
            <w:pPr>
              <w:ind w:right="170"/>
              <w:jc w:val="right"/>
              <w:rPr>
                <w:rFonts w:hint="eastAsia"/>
                <w:sz w:val="20"/>
              </w:rPr>
            </w:pPr>
            <w:r>
              <w:rPr>
                <w:rFonts w:hint="eastAsia"/>
                <w:sz w:val="20"/>
              </w:rPr>
              <w:t>414</w:t>
            </w:r>
          </w:p>
        </w:tc>
        <w:tc>
          <w:tcPr>
            <w:tcW w:w="945" w:type="dxa"/>
          </w:tcPr>
          <w:p w:rsidR="00000000" w:rsidRDefault="00000000">
            <w:pPr>
              <w:ind w:right="170"/>
              <w:jc w:val="right"/>
              <w:rPr>
                <w:rFonts w:hint="eastAsia"/>
                <w:sz w:val="20"/>
              </w:rPr>
            </w:pPr>
            <w:r>
              <w:rPr>
                <w:rFonts w:hint="eastAsia"/>
                <w:sz w:val="20"/>
              </w:rPr>
              <w:t>82</w:t>
            </w:r>
          </w:p>
        </w:tc>
        <w:tc>
          <w:tcPr>
            <w:tcW w:w="1050" w:type="dxa"/>
          </w:tcPr>
          <w:p w:rsidR="00000000" w:rsidRDefault="00000000">
            <w:pPr>
              <w:ind w:right="170"/>
              <w:jc w:val="right"/>
              <w:rPr>
                <w:rFonts w:hint="eastAsia"/>
                <w:sz w:val="20"/>
              </w:rPr>
            </w:pPr>
            <w:r>
              <w:rPr>
                <w:rFonts w:hint="eastAsia"/>
                <w:sz w:val="20"/>
              </w:rPr>
              <w:t>313</w:t>
            </w:r>
          </w:p>
        </w:tc>
        <w:tc>
          <w:tcPr>
            <w:tcW w:w="1613" w:type="dxa"/>
          </w:tcPr>
          <w:p w:rsidR="00000000" w:rsidRDefault="00000000">
            <w:pPr>
              <w:ind w:right="57"/>
              <w:jc w:val="right"/>
              <w:rPr>
                <w:rFonts w:hint="eastAsia"/>
                <w:sz w:val="20"/>
              </w:rPr>
            </w:pPr>
            <w:r>
              <w:rPr>
                <w:rFonts w:hint="eastAsia"/>
                <w:sz w:val="20"/>
              </w:rPr>
              <w:t>9,725,897.66</w:t>
            </w:r>
          </w:p>
        </w:tc>
        <w:tc>
          <w:tcPr>
            <w:tcW w:w="1197" w:type="dxa"/>
          </w:tcPr>
          <w:p w:rsidR="00000000" w:rsidRDefault="00000000">
            <w:pPr>
              <w:ind w:right="170"/>
              <w:jc w:val="right"/>
              <w:rPr>
                <w:rFonts w:hint="eastAsia"/>
                <w:sz w:val="20"/>
              </w:rPr>
            </w:pPr>
            <w:r>
              <w:rPr>
                <w:rFonts w:hint="eastAsia"/>
                <w:sz w:val="20"/>
              </w:rPr>
              <w:t>1233</w:t>
            </w:r>
          </w:p>
        </w:tc>
      </w:tr>
      <w:tr w:rsidR="00000000">
        <w:tblPrEx>
          <w:tblCellMar>
            <w:top w:w="0" w:type="dxa"/>
            <w:bottom w:w="0" w:type="dxa"/>
          </w:tblCellMar>
        </w:tblPrEx>
        <w:tc>
          <w:tcPr>
            <w:tcW w:w="948" w:type="dxa"/>
            <w:tcBorders>
              <w:top w:val="nil"/>
              <w:left w:val="nil"/>
              <w:bottom w:val="nil"/>
              <w:right w:val="single" w:sz="4" w:space="0" w:color="auto"/>
            </w:tcBorders>
          </w:tcPr>
          <w:p w:rsidR="00000000" w:rsidRDefault="00000000">
            <w:pPr>
              <w:jc w:val="right"/>
              <w:rPr>
                <w:rFonts w:hint="eastAsia"/>
                <w:sz w:val="20"/>
              </w:rPr>
            </w:pPr>
          </w:p>
        </w:tc>
        <w:tc>
          <w:tcPr>
            <w:tcW w:w="1155" w:type="dxa"/>
            <w:tcBorders>
              <w:left w:val="single" w:sz="4" w:space="0" w:color="auto"/>
              <w:right w:val="single" w:sz="4" w:space="0" w:color="auto"/>
            </w:tcBorders>
          </w:tcPr>
          <w:p w:rsidR="00000000" w:rsidRDefault="00000000">
            <w:pPr>
              <w:jc w:val="right"/>
              <w:rPr>
                <w:rFonts w:hint="eastAsia"/>
                <w:sz w:val="20"/>
              </w:rPr>
            </w:pPr>
            <w:r>
              <w:rPr>
                <w:rFonts w:hint="eastAsia"/>
                <w:sz w:val="20"/>
              </w:rPr>
              <w:t>7</w:t>
            </w:r>
            <w:r>
              <w:rPr>
                <w:rFonts w:hint="eastAsia"/>
                <w:sz w:val="20"/>
              </w:rPr>
              <w:t>月</w:t>
            </w:r>
          </w:p>
        </w:tc>
        <w:tc>
          <w:tcPr>
            <w:tcW w:w="1050" w:type="dxa"/>
            <w:tcBorders>
              <w:left w:val="single" w:sz="4" w:space="0" w:color="auto"/>
            </w:tcBorders>
          </w:tcPr>
          <w:p w:rsidR="00000000" w:rsidRDefault="00000000">
            <w:pPr>
              <w:ind w:right="170"/>
              <w:jc w:val="right"/>
              <w:rPr>
                <w:rFonts w:hint="eastAsia"/>
                <w:sz w:val="20"/>
              </w:rPr>
            </w:pPr>
            <w:r>
              <w:rPr>
                <w:rFonts w:hint="eastAsia"/>
                <w:sz w:val="20"/>
              </w:rPr>
              <w:t>362</w:t>
            </w:r>
          </w:p>
        </w:tc>
        <w:tc>
          <w:tcPr>
            <w:tcW w:w="1050" w:type="dxa"/>
          </w:tcPr>
          <w:p w:rsidR="00000000" w:rsidRDefault="00000000">
            <w:pPr>
              <w:ind w:right="170"/>
              <w:jc w:val="right"/>
              <w:rPr>
                <w:rFonts w:hint="eastAsia"/>
                <w:sz w:val="20"/>
              </w:rPr>
            </w:pPr>
            <w:r>
              <w:rPr>
                <w:rFonts w:hint="eastAsia"/>
                <w:sz w:val="20"/>
              </w:rPr>
              <w:t>536</w:t>
            </w:r>
          </w:p>
        </w:tc>
        <w:tc>
          <w:tcPr>
            <w:tcW w:w="945" w:type="dxa"/>
          </w:tcPr>
          <w:p w:rsidR="00000000" w:rsidRDefault="00000000">
            <w:pPr>
              <w:ind w:right="170"/>
              <w:jc w:val="right"/>
              <w:rPr>
                <w:rFonts w:hint="eastAsia"/>
                <w:sz w:val="20"/>
              </w:rPr>
            </w:pPr>
            <w:r>
              <w:rPr>
                <w:rFonts w:hint="eastAsia"/>
                <w:sz w:val="20"/>
              </w:rPr>
              <w:t>65</w:t>
            </w:r>
          </w:p>
        </w:tc>
        <w:tc>
          <w:tcPr>
            <w:tcW w:w="1050" w:type="dxa"/>
          </w:tcPr>
          <w:p w:rsidR="00000000" w:rsidRDefault="00000000">
            <w:pPr>
              <w:ind w:right="170"/>
              <w:jc w:val="right"/>
              <w:rPr>
                <w:rFonts w:hint="eastAsia"/>
                <w:sz w:val="20"/>
              </w:rPr>
            </w:pPr>
            <w:r>
              <w:rPr>
                <w:rFonts w:hint="eastAsia"/>
                <w:sz w:val="20"/>
              </w:rPr>
              <w:t>268</w:t>
            </w:r>
          </w:p>
        </w:tc>
        <w:tc>
          <w:tcPr>
            <w:tcW w:w="1613" w:type="dxa"/>
          </w:tcPr>
          <w:p w:rsidR="00000000" w:rsidRDefault="00000000">
            <w:pPr>
              <w:ind w:right="57"/>
              <w:jc w:val="right"/>
              <w:rPr>
                <w:rFonts w:hint="eastAsia"/>
                <w:sz w:val="20"/>
              </w:rPr>
            </w:pPr>
            <w:r>
              <w:rPr>
                <w:rFonts w:hint="eastAsia"/>
                <w:sz w:val="20"/>
              </w:rPr>
              <w:t>13,098,234.64</w:t>
            </w:r>
          </w:p>
        </w:tc>
        <w:tc>
          <w:tcPr>
            <w:tcW w:w="1197" w:type="dxa"/>
          </w:tcPr>
          <w:p w:rsidR="00000000" w:rsidRDefault="00000000">
            <w:pPr>
              <w:ind w:right="170"/>
              <w:jc w:val="right"/>
              <w:rPr>
                <w:rFonts w:hint="eastAsia"/>
                <w:sz w:val="20"/>
              </w:rPr>
            </w:pPr>
            <w:r>
              <w:rPr>
                <w:rFonts w:hint="eastAsia"/>
                <w:sz w:val="20"/>
              </w:rPr>
              <w:t>1231</w:t>
            </w:r>
          </w:p>
        </w:tc>
      </w:tr>
      <w:tr w:rsidR="00000000">
        <w:tblPrEx>
          <w:tblCellMar>
            <w:top w:w="0" w:type="dxa"/>
            <w:bottom w:w="0" w:type="dxa"/>
          </w:tblCellMar>
        </w:tblPrEx>
        <w:tc>
          <w:tcPr>
            <w:tcW w:w="948" w:type="dxa"/>
            <w:tcBorders>
              <w:top w:val="nil"/>
              <w:left w:val="nil"/>
              <w:bottom w:val="nil"/>
              <w:right w:val="single" w:sz="4" w:space="0" w:color="auto"/>
            </w:tcBorders>
          </w:tcPr>
          <w:p w:rsidR="00000000" w:rsidRDefault="00000000">
            <w:pPr>
              <w:jc w:val="right"/>
              <w:rPr>
                <w:rFonts w:hint="eastAsia"/>
                <w:sz w:val="20"/>
              </w:rPr>
            </w:pPr>
          </w:p>
        </w:tc>
        <w:tc>
          <w:tcPr>
            <w:tcW w:w="1155" w:type="dxa"/>
            <w:tcBorders>
              <w:left w:val="single" w:sz="4" w:space="0" w:color="auto"/>
              <w:right w:val="single" w:sz="4" w:space="0" w:color="auto"/>
            </w:tcBorders>
          </w:tcPr>
          <w:p w:rsidR="00000000" w:rsidRDefault="00000000">
            <w:pPr>
              <w:jc w:val="right"/>
              <w:rPr>
                <w:rFonts w:hint="eastAsia"/>
                <w:sz w:val="20"/>
              </w:rPr>
            </w:pPr>
            <w:r>
              <w:rPr>
                <w:rFonts w:hint="eastAsia"/>
                <w:sz w:val="20"/>
              </w:rPr>
              <w:t>8</w:t>
            </w:r>
            <w:r>
              <w:rPr>
                <w:rFonts w:hint="eastAsia"/>
                <w:sz w:val="20"/>
              </w:rPr>
              <w:t>月</w:t>
            </w:r>
          </w:p>
        </w:tc>
        <w:tc>
          <w:tcPr>
            <w:tcW w:w="1050" w:type="dxa"/>
            <w:tcBorders>
              <w:left w:val="single" w:sz="4" w:space="0" w:color="auto"/>
            </w:tcBorders>
          </w:tcPr>
          <w:p w:rsidR="00000000" w:rsidRDefault="00000000">
            <w:pPr>
              <w:ind w:right="170"/>
              <w:jc w:val="right"/>
              <w:rPr>
                <w:rFonts w:hint="eastAsia"/>
                <w:sz w:val="20"/>
              </w:rPr>
            </w:pPr>
            <w:r>
              <w:rPr>
                <w:rFonts w:hint="eastAsia"/>
                <w:sz w:val="20"/>
              </w:rPr>
              <w:t>193</w:t>
            </w:r>
          </w:p>
        </w:tc>
        <w:tc>
          <w:tcPr>
            <w:tcW w:w="1050" w:type="dxa"/>
          </w:tcPr>
          <w:p w:rsidR="00000000" w:rsidRDefault="00000000">
            <w:pPr>
              <w:ind w:right="170"/>
              <w:jc w:val="right"/>
              <w:rPr>
                <w:rFonts w:hint="eastAsia"/>
                <w:sz w:val="20"/>
              </w:rPr>
            </w:pPr>
            <w:r>
              <w:rPr>
                <w:rFonts w:hint="eastAsia"/>
                <w:sz w:val="20"/>
              </w:rPr>
              <w:t>348</w:t>
            </w:r>
          </w:p>
        </w:tc>
        <w:tc>
          <w:tcPr>
            <w:tcW w:w="945" w:type="dxa"/>
          </w:tcPr>
          <w:p w:rsidR="00000000" w:rsidRDefault="00000000">
            <w:pPr>
              <w:ind w:right="170"/>
              <w:jc w:val="right"/>
              <w:rPr>
                <w:rFonts w:hint="eastAsia"/>
                <w:sz w:val="20"/>
              </w:rPr>
            </w:pPr>
            <w:r>
              <w:rPr>
                <w:rFonts w:hint="eastAsia"/>
                <w:sz w:val="20"/>
              </w:rPr>
              <w:t>29</w:t>
            </w:r>
          </w:p>
        </w:tc>
        <w:tc>
          <w:tcPr>
            <w:tcW w:w="1050" w:type="dxa"/>
          </w:tcPr>
          <w:p w:rsidR="00000000" w:rsidRDefault="00000000">
            <w:pPr>
              <w:ind w:right="170"/>
              <w:jc w:val="right"/>
              <w:rPr>
                <w:rFonts w:hint="eastAsia"/>
                <w:sz w:val="20"/>
              </w:rPr>
            </w:pPr>
            <w:r>
              <w:rPr>
                <w:rFonts w:hint="eastAsia"/>
                <w:sz w:val="20"/>
              </w:rPr>
              <w:t>80</w:t>
            </w:r>
          </w:p>
        </w:tc>
        <w:tc>
          <w:tcPr>
            <w:tcW w:w="1613" w:type="dxa"/>
          </w:tcPr>
          <w:p w:rsidR="00000000" w:rsidRDefault="00000000">
            <w:pPr>
              <w:ind w:right="57"/>
              <w:jc w:val="right"/>
              <w:rPr>
                <w:rFonts w:hint="eastAsia"/>
                <w:sz w:val="20"/>
              </w:rPr>
            </w:pPr>
            <w:r>
              <w:rPr>
                <w:rFonts w:hint="eastAsia"/>
                <w:sz w:val="20"/>
              </w:rPr>
              <w:t>9,859,475.54</w:t>
            </w:r>
          </w:p>
        </w:tc>
        <w:tc>
          <w:tcPr>
            <w:tcW w:w="1197" w:type="dxa"/>
          </w:tcPr>
          <w:p w:rsidR="00000000" w:rsidRDefault="00000000">
            <w:pPr>
              <w:ind w:right="170"/>
              <w:jc w:val="right"/>
              <w:rPr>
                <w:rFonts w:hint="eastAsia"/>
                <w:sz w:val="20"/>
              </w:rPr>
            </w:pPr>
            <w:r>
              <w:rPr>
                <w:rFonts w:hint="eastAsia"/>
                <w:sz w:val="20"/>
              </w:rPr>
              <w:t>869</w:t>
            </w:r>
          </w:p>
        </w:tc>
      </w:tr>
      <w:tr w:rsidR="00000000">
        <w:tblPrEx>
          <w:tblCellMar>
            <w:top w:w="0" w:type="dxa"/>
            <w:bottom w:w="0" w:type="dxa"/>
          </w:tblCellMar>
        </w:tblPrEx>
        <w:tc>
          <w:tcPr>
            <w:tcW w:w="948" w:type="dxa"/>
            <w:tcBorders>
              <w:top w:val="nil"/>
              <w:left w:val="nil"/>
              <w:bottom w:val="nil"/>
              <w:right w:val="single" w:sz="4" w:space="0" w:color="auto"/>
            </w:tcBorders>
          </w:tcPr>
          <w:p w:rsidR="00000000" w:rsidRDefault="00000000">
            <w:pPr>
              <w:jc w:val="right"/>
              <w:rPr>
                <w:rFonts w:hint="eastAsia"/>
                <w:sz w:val="20"/>
              </w:rPr>
            </w:pPr>
          </w:p>
        </w:tc>
        <w:tc>
          <w:tcPr>
            <w:tcW w:w="1155" w:type="dxa"/>
            <w:tcBorders>
              <w:left w:val="single" w:sz="4" w:space="0" w:color="auto"/>
              <w:right w:val="single" w:sz="4" w:space="0" w:color="auto"/>
            </w:tcBorders>
          </w:tcPr>
          <w:p w:rsidR="00000000" w:rsidRDefault="00000000">
            <w:pPr>
              <w:jc w:val="right"/>
              <w:rPr>
                <w:rFonts w:hint="eastAsia"/>
                <w:sz w:val="20"/>
              </w:rPr>
            </w:pPr>
            <w:r>
              <w:rPr>
                <w:rFonts w:hint="eastAsia"/>
                <w:sz w:val="20"/>
              </w:rPr>
              <w:t>9</w:t>
            </w:r>
            <w:r>
              <w:rPr>
                <w:rFonts w:hint="eastAsia"/>
                <w:sz w:val="20"/>
              </w:rPr>
              <w:t>月</w:t>
            </w:r>
          </w:p>
        </w:tc>
        <w:tc>
          <w:tcPr>
            <w:tcW w:w="1050" w:type="dxa"/>
            <w:tcBorders>
              <w:left w:val="single" w:sz="4" w:space="0" w:color="auto"/>
            </w:tcBorders>
          </w:tcPr>
          <w:p w:rsidR="00000000" w:rsidRDefault="00000000">
            <w:pPr>
              <w:ind w:right="170"/>
              <w:jc w:val="right"/>
              <w:rPr>
                <w:rFonts w:hint="eastAsia"/>
                <w:sz w:val="20"/>
              </w:rPr>
            </w:pPr>
            <w:r>
              <w:rPr>
                <w:rFonts w:hint="eastAsia"/>
                <w:sz w:val="20"/>
              </w:rPr>
              <w:t>253</w:t>
            </w:r>
          </w:p>
        </w:tc>
        <w:tc>
          <w:tcPr>
            <w:tcW w:w="1050" w:type="dxa"/>
          </w:tcPr>
          <w:p w:rsidR="00000000" w:rsidRDefault="00000000">
            <w:pPr>
              <w:ind w:right="170"/>
              <w:jc w:val="right"/>
              <w:rPr>
                <w:rFonts w:hint="eastAsia"/>
                <w:sz w:val="20"/>
              </w:rPr>
            </w:pPr>
            <w:r>
              <w:rPr>
                <w:rFonts w:hint="eastAsia"/>
                <w:sz w:val="20"/>
              </w:rPr>
              <w:t>349</w:t>
            </w:r>
          </w:p>
        </w:tc>
        <w:tc>
          <w:tcPr>
            <w:tcW w:w="945" w:type="dxa"/>
          </w:tcPr>
          <w:p w:rsidR="00000000" w:rsidRDefault="00000000">
            <w:pPr>
              <w:ind w:right="170"/>
              <w:jc w:val="right"/>
              <w:rPr>
                <w:rFonts w:hint="eastAsia"/>
                <w:sz w:val="20"/>
              </w:rPr>
            </w:pPr>
            <w:r>
              <w:rPr>
                <w:rFonts w:hint="eastAsia"/>
                <w:sz w:val="20"/>
              </w:rPr>
              <w:t>93</w:t>
            </w:r>
          </w:p>
        </w:tc>
        <w:tc>
          <w:tcPr>
            <w:tcW w:w="1050" w:type="dxa"/>
          </w:tcPr>
          <w:p w:rsidR="00000000" w:rsidRDefault="00000000">
            <w:pPr>
              <w:ind w:right="170"/>
              <w:jc w:val="right"/>
              <w:rPr>
                <w:rFonts w:hint="eastAsia"/>
                <w:sz w:val="20"/>
              </w:rPr>
            </w:pPr>
            <w:r>
              <w:rPr>
                <w:rFonts w:hint="eastAsia"/>
                <w:sz w:val="20"/>
              </w:rPr>
              <w:t>198</w:t>
            </w:r>
          </w:p>
        </w:tc>
        <w:tc>
          <w:tcPr>
            <w:tcW w:w="1613" w:type="dxa"/>
          </w:tcPr>
          <w:p w:rsidR="00000000" w:rsidRDefault="00000000">
            <w:pPr>
              <w:ind w:right="57"/>
              <w:jc w:val="right"/>
              <w:rPr>
                <w:rFonts w:hint="eastAsia"/>
                <w:sz w:val="20"/>
              </w:rPr>
            </w:pPr>
          </w:p>
        </w:tc>
        <w:tc>
          <w:tcPr>
            <w:tcW w:w="1197" w:type="dxa"/>
          </w:tcPr>
          <w:p w:rsidR="00000000" w:rsidRDefault="00000000">
            <w:pPr>
              <w:ind w:right="170"/>
              <w:jc w:val="right"/>
              <w:rPr>
                <w:rFonts w:hint="eastAsia"/>
                <w:sz w:val="20"/>
              </w:rPr>
            </w:pPr>
            <w:r>
              <w:rPr>
                <w:rFonts w:hint="eastAsia"/>
                <w:sz w:val="20"/>
              </w:rPr>
              <w:t>893</w:t>
            </w:r>
          </w:p>
        </w:tc>
      </w:tr>
      <w:tr w:rsidR="00000000">
        <w:tblPrEx>
          <w:tblCellMar>
            <w:top w:w="0" w:type="dxa"/>
            <w:bottom w:w="0" w:type="dxa"/>
          </w:tblCellMar>
        </w:tblPrEx>
        <w:tc>
          <w:tcPr>
            <w:tcW w:w="948" w:type="dxa"/>
            <w:tcBorders>
              <w:top w:val="nil"/>
              <w:left w:val="nil"/>
              <w:bottom w:val="nil"/>
              <w:right w:val="single" w:sz="4" w:space="0" w:color="auto"/>
            </w:tcBorders>
          </w:tcPr>
          <w:p w:rsidR="00000000" w:rsidRDefault="00000000">
            <w:pPr>
              <w:jc w:val="right"/>
              <w:rPr>
                <w:rFonts w:hint="eastAsia"/>
                <w:sz w:val="20"/>
              </w:rPr>
            </w:pPr>
          </w:p>
        </w:tc>
        <w:tc>
          <w:tcPr>
            <w:tcW w:w="1155" w:type="dxa"/>
            <w:tcBorders>
              <w:left w:val="single" w:sz="4" w:space="0" w:color="auto"/>
              <w:right w:val="single" w:sz="4" w:space="0" w:color="auto"/>
            </w:tcBorders>
          </w:tcPr>
          <w:p w:rsidR="00000000" w:rsidRDefault="00000000">
            <w:pPr>
              <w:jc w:val="right"/>
              <w:rPr>
                <w:rFonts w:hint="eastAsia"/>
                <w:sz w:val="20"/>
              </w:rPr>
            </w:pPr>
            <w:r>
              <w:rPr>
                <w:rFonts w:hint="eastAsia"/>
                <w:sz w:val="20"/>
              </w:rPr>
              <w:t>10</w:t>
            </w:r>
            <w:r>
              <w:rPr>
                <w:rFonts w:hint="eastAsia"/>
                <w:sz w:val="20"/>
              </w:rPr>
              <w:t>月</w:t>
            </w:r>
          </w:p>
        </w:tc>
        <w:tc>
          <w:tcPr>
            <w:tcW w:w="1050" w:type="dxa"/>
            <w:tcBorders>
              <w:left w:val="single" w:sz="4" w:space="0" w:color="auto"/>
            </w:tcBorders>
          </w:tcPr>
          <w:p w:rsidR="00000000" w:rsidRDefault="00000000">
            <w:pPr>
              <w:ind w:right="170"/>
              <w:jc w:val="right"/>
              <w:rPr>
                <w:rFonts w:hint="eastAsia"/>
                <w:sz w:val="20"/>
              </w:rPr>
            </w:pPr>
            <w:r>
              <w:rPr>
                <w:rFonts w:hint="eastAsia"/>
                <w:sz w:val="20"/>
              </w:rPr>
              <w:t>668</w:t>
            </w:r>
          </w:p>
        </w:tc>
        <w:tc>
          <w:tcPr>
            <w:tcW w:w="1050" w:type="dxa"/>
          </w:tcPr>
          <w:p w:rsidR="00000000" w:rsidRDefault="00000000">
            <w:pPr>
              <w:ind w:right="170"/>
              <w:jc w:val="right"/>
              <w:rPr>
                <w:rFonts w:hint="eastAsia"/>
                <w:sz w:val="20"/>
              </w:rPr>
            </w:pPr>
            <w:r>
              <w:rPr>
                <w:rFonts w:hint="eastAsia"/>
                <w:sz w:val="20"/>
              </w:rPr>
              <w:t>681</w:t>
            </w:r>
          </w:p>
        </w:tc>
        <w:tc>
          <w:tcPr>
            <w:tcW w:w="945" w:type="dxa"/>
          </w:tcPr>
          <w:p w:rsidR="00000000" w:rsidRDefault="00000000">
            <w:pPr>
              <w:ind w:right="170"/>
              <w:jc w:val="right"/>
              <w:rPr>
                <w:rFonts w:hint="eastAsia"/>
                <w:sz w:val="20"/>
              </w:rPr>
            </w:pPr>
            <w:r>
              <w:rPr>
                <w:rFonts w:hint="eastAsia"/>
                <w:sz w:val="20"/>
              </w:rPr>
              <w:t>100</w:t>
            </w:r>
          </w:p>
        </w:tc>
        <w:tc>
          <w:tcPr>
            <w:tcW w:w="1050" w:type="dxa"/>
          </w:tcPr>
          <w:p w:rsidR="00000000" w:rsidRDefault="00000000">
            <w:pPr>
              <w:ind w:right="170"/>
              <w:jc w:val="right"/>
              <w:rPr>
                <w:rFonts w:hint="eastAsia"/>
                <w:sz w:val="20"/>
              </w:rPr>
            </w:pPr>
            <w:r>
              <w:rPr>
                <w:rFonts w:hint="eastAsia"/>
                <w:sz w:val="20"/>
              </w:rPr>
              <w:t>169</w:t>
            </w:r>
          </w:p>
        </w:tc>
        <w:tc>
          <w:tcPr>
            <w:tcW w:w="1613" w:type="dxa"/>
          </w:tcPr>
          <w:p w:rsidR="00000000" w:rsidRDefault="00000000">
            <w:pPr>
              <w:ind w:right="57"/>
              <w:jc w:val="right"/>
              <w:rPr>
                <w:rFonts w:hint="eastAsia"/>
                <w:sz w:val="20"/>
              </w:rPr>
            </w:pPr>
          </w:p>
        </w:tc>
        <w:tc>
          <w:tcPr>
            <w:tcW w:w="1197" w:type="dxa"/>
          </w:tcPr>
          <w:p w:rsidR="00000000" w:rsidRDefault="00000000">
            <w:pPr>
              <w:ind w:right="170"/>
              <w:jc w:val="right"/>
              <w:rPr>
                <w:rFonts w:hint="eastAsia"/>
                <w:sz w:val="20"/>
              </w:rPr>
            </w:pPr>
            <w:r>
              <w:rPr>
                <w:rFonts w:hint="eastAsia"/>
                <w:sz w:val="20"/>
              </w:rPr>
              <w:t>1618</w:t>
            </w:r>
          </w:p>
        </w:tc>
      </w:tr>
      <w:tr w:rsidR="00000000">
        <w:tblPrEx>
          <w:tblCellMar>
            <w:top w:w="0" w:type="dxa"/>
            <w:bottom w:w="0" w:type="dxa"/>
          </w:tblCellMar>
        </w:tblPrEx>
        <w:trPr>
          <w:cantSplit/>
        </w:trPr>
        <w:tc>
          <w:tcPr>
            <w:tcW w:w="2103" w:type="dxa"/>
            <w:gridSpan w:val="2"/>
          </w:tcPr>
          <w:p w:rsidR="00000000" w:rsidRDefault="00000000">
            <w:pPr>
              <w:rPr>
                <w:rFonts w:hint="eastAsia"/>
                <w:sz w:val="20"/>
              </w:rPr>
            </w:pPr>
            <w:r>
              <w:rPr>
                <w:rFonts w:hint="eastAsia"/>
                <w:sz w:val="20"/>
              </w:rPr>
              <w:t>总</w:t>
            </w:r>
            <w:r>
              <w:rPr>
                <w:sz w:val="20"/>
              </w:rPr>
              <w:tab/>
            </w:r>
            <w:r>
              <w:rPr>
                <w:rFonts w:hint="eastAsia"/>
                <w:sz w:val="20"/>
              </w:rPr>
              <w:t>数</w:t>
            </w:r>
          </w:p>
        </w:tc>
        <w:tc>
          <w:tcPr>
            <w:tcW w:w="1050" w:type="dxa"/>
          </w:tcPr>
          <w:p w:rsidR="00000000" w:rsidRDefault="00000000">
            <w:pPr>
              <w:ind w:right="170"/>
              <w:jc w:val="right"/>
              <w:rPr>
                <w:rFonts w:hint="eastAsia"/>
                <w:sz w:val="20"/>
              </w:rPr>
            </w:pPr>
            <w:r>
              <w:rPr>
                <w:rFonts w:hint="eastAsia"/>
                <w:sz w:val="20"/>
              </w:rPr>
              <w:t>3844</w:t>
            </w:r>
          </w:p>
        </w:tc>
        <w:tc>
          <w:tcPr>
            <w:tcW w:w="1050" w:type="dxa"/>
          </w:tcPr>
          <w:p w:rsidR="00000000" w:rsidRDefault="00000000">
            <w:pPr>
              <w:ind w:right="170"/>
              <w:jc w:val="right"/>
              <w:rPr>
                <w:rFonts w:hint="eastAsia"/>
                <w:sz w:val="20"/>
              </w:rPr>
            </w:pPr>
            <w:r>
              <w:rPr>
                <w:rFonts w:hint="eastAsia"/>
                <w:sz w:val="20"/>
              </w:rPr>
              <w:t>4041</w:t>
            </w:r>
          </w:p>
        </w:tc>
        <w:tc>
          <w:tcPr>
            <w:tcW w:w="945" w:type="dxa"/>
          </w:tcPr>
          <w:p w:rsidR="00000000" w:rsidRDefault="00000000">
            <w:pPr>
              <w:ind w:right="170"/>
              <w:jc w:val="right"/>
              <w:rPr>
                <w:rFonts w:hint="eastAsia"/>
                <w:sz w:val="20"/>
              </w:rPr>
            </w:pPr>
            <w:r>
              <w:rPr>
                <w:rFonts w:hint="eastAsia"/>
                <w:sz w:val="20"/>
              </w:rPr>
              <w:t>2549</w:t>
            </w:r>
          </w:p>
        </w:tc>
        <w:tc>
          <w:tcPr>
            <w:tcW w:w="1050" w:type="dxa"/>
          </w:tcPr>
          <w:p w:rsidR="00000000" w:rsidRDefault="00000000">
            <w:pPr>
              <w:ind w:right="170"/>
              <w:jc w:val="right"/>
              <w:rPr>
                <w:rFonts w:hint="eastAsia"/>
                <w:sz w:val="20"/>
              </w:rPr>
            </w:pPr>
            <w:r>
              <w:rPr>
                <w:rFonts w:hint="eastAsia"/>
                <w:sz w:val="20"/>
              </w:rPr>
              <w:t>2014</w:t>
            </w:r>
          </w:p>
        </w:tc>
        <w:tc>
          <w:tcPr>
            <w:tcW w:w="1613" w:type="dxa"/>
          </w:tcPr>
          <w:p w:rsidR="00000000" w:rsidRDefault="00000000">
            <w:pPr>
              <w:ind w:right="57"/>
              <w:jc w:val="right"/>
              <w:rPr>
                <w:rFonts w:hint="eastAsia"/>
                <w:sz w:val="20"/>
              </w:rPr>
            </w:pPr>
            <w:r>
              <w:rPr>
                <w:rFonts w:hint="eastAsia"/>
                <w:sz w:val="20"/>
              </w:rPr>
              <w:t>67,295,556.88</w:t>
            </w:r>
          </w:p>
        </w:tc>
        <w:tc>
          <w:tcPr>
            <w:tcW w:w="1197" w:type="dxa"/>
          </w:tcPr>
          <w:p w:rsidR="00000000" w:rsidRDefault="00000000">
            <w:pPr>
              <w:ind w:right="170"/>
              <w:jc w:val="right"/>
              <w:rPr>
                <w:rFonts w:hint="eastAsia"/>
                <w:sz w:val="20"/>
              </w:rPr>
            </w:pPr>
            <w:r>
              <w:rPr>
                <w:rFonts w:hint="eastAsia"/>
                <w:sz w:val="20"/>
              </w:rPr>
              <w:t>12448</w:t>
            </w:r>
          </w:p>
        </w:tc>
      </w:tr>
    </w:tbl>
    <w:p w:rsidR="00000000" w:rsidRDefault="00000000">
      <w:pPr>
        <w:rPr>
          <w:rFonts w:hint="eastAsia"/>
        </w:rPr>
      </w:pPr>
    </w:p>
    <w:p w:rsidR="00000000" w:rsidRDefault="00000000">
      <w:pPr>
        <w:rPr>
          <w:rFonts w:hint="eastAsia"/>
        </w:rPr>
      </w:pPr>
      <w:r>
        <w:rPr>
          <w:rFonts w:hint="eastAsia"/>
        </w:rPr>
        <w:tab/>
        <w:t xml:space="preserve">79.  </w:t>
      </w:r>
      <w:r>
        <w:rPr>
          <w:rFonts w:hint="eastAsia"/>
        </w:rPr>
        <w:t>在这一积极政策措施方案包括的失业者总数中，有</w:t>
      </w:r>
      <w:r>
        <w:rPr>
          <w:rFonts w:hint="eastAsia"/>
        </w:rPr>
        <w:t>10,704</w:t>
      </w:r>
      <w:r>
        <w:rPr>
          <w:rFonts w:hint="eastAsia"/>
        </w:rPr>
        <w:t>人找到工作。存在差别是因为措施</w:t>
      </w:r>
      <w:r>
        <w:rPr>
          <w:rFonts w:hint="eastAsia"/>
        </w:rPr>
        <w:t>3</w:t>
      </w:r>
      <w:r>
        <w:rPr>
          <w:rFonts w:hint="eastAsia"/>
        </w:rPr>
        <w:t>内有些人具有工作资格但没有特定雇主，不过通过这一培训找到工作的机会很大。</w:t>
      </w:r>
    </w:p>
    <w:p w:rsidR="00000000" w:rsidRDefault="00000000">
      <w:pPr>
        <w:rPr>
          <w:rFonts w:hint="eastAsia"/>
        </w:rPr>
      </w:pPr>
      <w:r>
        <w:rPr>
          <w:rFonts w:hint="eastAsia"/>
        </w:rPr>
        <w:tab/>
        <w:t xml:space="preserve">80.  </w:t>
      </w:r>
      <w:r>
        <w:rPr>
          <w:rFonts w:hint="eastAsia"/>
        </w:rPr>
        <w:t>这些措施提高了职业介绍厅登记簿上的人找到工作者在获得就业者总数中所占的比例。由于在</w:t>
      </w:r>
      <w:r>
        <w:rPr>
          <w:rFonts w:hint="eastAsia"/>
        </w:rPr>
        <w:t>80%</w:t>
      </w:r>
      <w:r>
        <w:rPr>
          <w:rFonts w:hint="eastAsia"/>
        </w:rPr>
        <w:t>的情况下雇主不雇用登记簿的人而有自己的未来工人选择。我们认为除其他外我们提高了雇主对登记簿上的人的兴趣。利用上述措施的雇主大多数是小雇主，一般来说他们雇用一个或两个工人。雇主需求最多的行业是：</w:t>
      </w:r>
    </w:p>
    <w:p w:rsidR="00000000" w:rsidRDefault="00000000">
      <w:pPr>
        <w:numPr>
          <w:ilvl w:val="0"/>
          <w:numId w:val="30"/>
        </w:numPr>
        <w:rPr>
          <w:rFonts w:hint="eastAsia"/>
        </w:rPr>
      </w:pPr>
      <w:r>
        <w:rPr>
          <w:rFonts w:hint="eastAsia"/>
        </w:rPr>
        <w:t>非熟练和半熟练级别：助理缝衣工人；杂工；</w:t>
      </w:r>
    </w:p>
    <w:p w:rsidR="00000000" w:rsidRDefault="00000000">
      <w:pPr>
        <w:numPr>
          <w:ilvl w:val="0"/>
          <w:numId w:val="30"/>
        </w:numPr>
        <w:rPr>
          <w:rFonts w:hint="eastAsia"/>
        </w:rPr>
      </w:pPr>
      <w:r>
        <w:rPr>
          <w:rFonts w:hint="eastAsia"/>
        </w:rPr>
        <w:t>熟练和高度熟练级别：金属工人；板材打造工；暖气安装工人；机器制造工；汽车机械工；缝衣工人；理发师；助理售货员；</w:t>
      </w:r>
    </w:p>
    <w:p w:rsidR="00000000" w:rsidRDefault="00000000">
      <w:pPr>
        <w:numPr>
          <w:ilvl w:val="0"/>
          <w:numId w:val="30"/>
        </w:numPr>
        <w:rPr>
          <w:rFonts w:hint="eastAsia"/>
        </w:rPr>
      </w:pPr>
      <w:r>
        <w:rPr>
          <w:rFonts w:hint="eastAsia"/>
        </w:rPr>
        <w:t>中等教育资格级别：工程技术员；建筑技术员；</w:t>
      </w:r>
    </w:p>
    <w:p w:rsidR="00000000" w:rsidRDefault="00000000">
      <w:pPr>
        <w:numPr>
          <w:ilvl w:val="0"/>
          <w:numId w:val="30"/>
        </w:numPr>
        <w:rPr>
          <w:rFonts w:hint="eastAsia"/>
        </w:rPr>
      </w:pPr>
      <w:r>
        <w:rPr>
          <w:rFonts w:hint="eastAsia"/>
        </w:rPr>
        <w:t>学院一级组别：普通学位一级的机械和电机工程师；</w:t>
      </w:r>
    </w:p>
    <w:p w:rsidR="00000000" w:rsidRDefault="00000000">
      <w:pPr>
        <w:numPr>
          <w:ilvl w:val="0"/>
          <w:numId w:val="30"/>
        </w:numPr>
        <w:rPr>
          <w:rFonts w:hint="eastAsia"/>
        </w:rPr>
      </w:pPr>
      <w:r>
        <w:rPr>
          <w:rFonts w:hint="eastAsia"/>
        </w:rPr>
        <w:t>大学学位一级组别：经济学家；医生。</w:t>
      </w:r>
    </w:p>
    <w:p w:rsidR="00000000" w:rsidRDefault="00000000">
      <w:pPr>
        <w:rPr>
          <w:rFonts w:hint="eastAsia"/>
        </w:rPr>
      </w:pPr>
      <w:r>
        <w:rPr>
          <w:rFonts w:hint="eastAsia"/>
        </w:rPr>
        <w:tab/>
        <w:t xml:space="preserve">81.  </w:t>
      </w:r>
      <w:r>
        <w:rPr>
          <w:rFonts w:hint="eastAsia"/>
        </w:rPr>
        <w:t>在自我雇用范围内，登记簿上的失业者如具有开办自己的公司、生意、自由职业和农场的才能和必要知识将会得到自我雇用的培训。</w:t>
      </w:r>
    </w:p>
    <w:p w:rsidR="00000000" w:rsidRDefault="00000000">
      <w:pPr>
        <w:rPr>
          <w:rFonts w:hint="eastAsia"/>
        </w:rPr>
      </w:pPr>
      <w:r>
        <w:rPr>
          <w:rFonts w:hint="eastAsia"/>
        </w:rPr>
        <w:tab/>
        <w:t xml:space="preserve">82.  </w:t>
      </w:r>
      <w:r>
        <w:rPr>
          <w:rFonts w:hint="eastAsia"/>
        </w:rPr>
        <w:t>尽管这个方案是面向已经在灰色经济内经营企业的人或在自己的农场工作的人，但我们认为那些刚开始的人必须在他们进入企业界之前经历若干阶段以便使他们能够实事求是地评估他们所冒的风险。为此，希望成为自我雇用的所有失业潜在企业家必须经过选择、教育、咨询等阶段之后，才能得到贷款。首先选择是由职业介绍所进行的，它为感兴趣的人举行情况介绍讲习班，向候选人介绍法律框架、财政制度、他们必须学会利用的组织制度、与公司登记有关的程序、拟订企业计划的基本要点。根据迄今取得的经验。在讲习班之后有</w:t>
      </w:r>
      <w:r>
        <w:rPr>
          <w:rFonts w:hint="eastAsia"/>
        </w:rPr>
        <w:t>50%</w:t>
      </w:r>
      <w:r>
        <w:rPr>
          <w:rFonts w:hint="eastAsia"/>
        </w:rPr>
        <w:t>的人退出本方案。其他人将填写一份调查个人企业能力的问题单，然后有人指导他们如何拟订他们的企业构想。候选人将带着填好的问题单与职业介绍厅的一个专家小组面谈，专家小组由心理学家、律师、教育工作者和顾问组成。在这一选择过程中，候选人或者被劝说放弃或者继续去参加拟订企业计划的讲习班，或者直接去找顾问。在这一阶段，另有</w:t>
      </w:r>
      <w:r>
        <w:rPr>
          <w:rFonts w:hint="eastAsia"/>
        </w:rPr>
        <w:t>20%</w:t>
      </w:r>
      <w:r>
        <w:rPr>
          <w:rFonts w:hint="eastAsia"/>
        </w:rPr>
        <w:t>至</w:t>
      </w:r>
      <w:r>
        <w:rPr>
          <w:rFonts w:hint="eastAsia"/>
        </w:rPr>
        <w:t>30%</w:t>
      </w:r>
      <w:r>
        <w:rPr>
          <w:rFonts w:hint="eastAsia"/>
        </w:rPr>
        <w:t>的人退出。其余的候选人大多数去参加讲习班，在讲习班上他们将得到更详细的企业家需要知道的情况，并且将拟订他们的企业计划，该计划将是申请贷款的一个组成部分。在讲习班之后，候选人已经可以去找顾问，顾问为他们编写详细的财政指示数、调查偿还保证金的条件等等。</w:t>
      </w:r>
    </w:p>
    <w:p w:rsidR="00000000" w:rsidRDefault="00000000">
      <w:pPr>
        <w:rPr>
          <w:rFonts w:hint="eastAsia"/>
        </w:rPr>
      </w:pPr>
      <w:r>
        <w:rPr>
          <w:rFonts w:hint="eastAsia"/>
        </w:rPr>
        <w:tab/>
        <w:t xml:space="preserve">83.  </w:t>
      </w:r>
      <w:r>
        <w:rPr>
          <w:rFonts w:hint="eastAsia"/>
        </w:rPr>
        <w:t>这项方案的一个极为重要的部分是各个机构之间在执行这些不同程序中进行的合作。职业介绍所与克罗地亚邮政银行、举办商务讲习班的教育机构、农业咨询服务处、牲畜选择中心和顾问签订商务合作协定。也同县企业中心、技术中心和外地经济办事处以及旅游部、经济部、农业部和克罗地亚保险署进行密切的合作。目标是让开创者能够在很不确定的环境中生存下去，并帮助他们在营业的头几年内获得成果。</w:t>
      </w:r>
    </w:p>
    <w:p w:rsidR="00000000" w:rsidRDefault="00000000">
      <w:pPr>
        <w:rPr>
          <w:rFonts w:hint="eastAsia"/>
        </w:rPr>
      </w:pPr>
      <w:r>
        <w:rPr>
          <w:rFonts w:hint="eastAsia"/>
        </w:rPr>
        <w:tab/>
        <w:t xml:space="preserve">84.  </w:t>
      </w:r>
      <w:r>
        <w:rPr>
          <w:rFonts w:hint="eastAsia"/>
        </w:rPr>
        <w:t>我们不期望这项措施会在鼓励就业方面获得非凡的成果，但这样做将创造出一个企业家促成温床，他们对于私营经济部门的发展是极为重要的。</w:t>
      </w:r>
    </w:p>
    <w:p w:rsidR="00000000" w:rsidRDefault="00000000">
      <w:pPr>
        <w:rPr>
          <w:rFonts w:hint="eastAsia"/>
        </w:rPr>
      </w:pPr>
      <w:r>
        <w:rPr>
          <w:rFonts w:hint="eastAsia"/>
        </w:rPr>
        <w:tab/>
        <w:t xml:space="preserve">85.  </w:t>
      </w:r>
      <w:r>
        <w:rPr>
          <w:rFonts w:hint="eastAsia"/>
        </w:rPr>
        <w:t>向中小型企业提供贷款的方案的目标也在于通过特别贷款创造新的就业机会。这个经济部门的资本费用很高及其获得不易反映在对劳动力的需求很低，因此无法为登记簿上的许多失业者找到工作。贷款方案将优先贷款给直接地或间接地</w:t>
      </w:r>
      <w:r>
        <w:rPr>
          <w:rFonts w:hint="eastAsia"/>
        </w:rPr>
        <w:t>(</w:t>
      </w:r>
      <w:r>
        <w:rPr>
          <w:rFonts w:hint="eastAsia"/>
        </w:rPr>
        <w:t>通过合作和其他形式</w:t>
      </w:r>
      <w:r>
        <w:rPr>
          <w:rFonts w:hint="eastAsia"/>
        </w:rPr>
        <w:t>)</w:t>
      </w:r>
      <w:r>
        <w:rPr>
          <w:rFonts w:hint="eastAsia"/>
        </w:rPr>
        <w:t>是最大雇主的公司、商人等等。</w:t>
      </w:r>
    </w:p>
    <w:p w:rsidR="00000000" w:rsidRDefault="00000000">
      <w:pPr>
        <w:rPr>
          <w:rFonts w:hint="eastAsia"/>
        </w:rPr>
      </w:pPr>
      <w:r>
        <w:rPr>
          <w:rFonts w:hint="eastAsia"/>
        </w:rPr>
        <w:tab/>
        <w:t xml:space="preserve">86.  </w:t>
      </w:r>
      <w:r>
        <w:rPr>
          <w:rFonts w:hint="eastAsia"/>
        </w:rPr>
        <w:t>根据需要，将为没有能力自己拟订企业计划的企业家雇用注册的顾问。本方案中的新创办者必须经历与就业促进方案中的新创办者所经历的相同的程序。</w:t>
      </w:r>
    </w:p>
    <w:p w:rsidR="00000000" w:rsidRDefault="00000000">
      <w:pPr>
        <w:rPr>
          <w:rFonts w:hint="eastAsia"/>
        </w:rPr>
      </w:pPr>
      <w:r>
        <w:rPr>
          <w:rFonts w:hint="eastAsia"/>
        </w:rPr>
        <w:tab/>
      </w:r>
      <w:r>
        <w:rPr>
          <w:rFonts w:hint="eastAsia"/>
        </w:rPr>
        <w:t>贷款条件与前一个方案的相同：利率等于克罗地亚国家银行的贴现率加</w:t>
      </w:r>
      <w:r>
        <w:rPr>
          <w:rFonts w:hint="eastAsia"/>
        </w:rPr>
        <w:t>1%</w:t>
      </w:r>
      <w:r>
        <w:rPr>
          <w:rFonts w:hint="eastAsia"/>
        </w:rPr>
        <w:t>；偿还期最长七年；延期偿付期</w:t>
      </w:r>
      <w:r>
        <w:rPr>
          <w:rFonts w:hint="eastAsia"/>
        </w:rPr>
        <w:t>1</w:t>
      </w:r>
      <w:r>
        <w:rPr>
          <w:rFonts w:hint="eastAsia"/>
        </w:rPr>
        <w:t>年至</w:t>
      </w:r>
      <w:r>
        <w:rPr>
          <w:rFonts w:hint="eastAsia"/>
        </w:rPr>
        <w:t>3</w:t>
      </w:r>
      <w:r>
        <w:rPr>
          <w:rFonts w:hint="eastAsia"/>
        </w:rPr>
        <w:t>年，视所进行的活动而定。</w:t>
      </w:r>
    </w:p>
    <w:p w:rsidR="00000000" w:rsidRDefault="00000000">
      <w:pPr>
        <w:rPr>
          <w:rFonts w:hint="eastAsia"/>
        </w:rPr>
      </w:pPr>
      <w:r>
        <w:rPr>
          <w:rFonts w:hint="eastAsia"/>
        </w:rPr>
        <w:tab/>
        <w:t xml:space="preserve">87.  </w:t>
      </w:r>
      <w:r>
        <w:rPr>
          <w:rFonts w:hint="eastAsia"/>
        </w:rPr>
        <w:t>贷款顾还有另一项好处，即证券和抵押</w:t>
      </w:r>
      <w:r>
        <w:rPr>
          <w:rFonts w:hint="eastAsia"/>
        </w:rPr>
        <w:t>(</w:t>
      </w:r>
      <w:r>
        <w:rPr>
          <w:rFonts w:hint="eastAsia"/>
        </w:rPr>
        <w:t>留置权或抵押权</w:t>
      </w:r>
      <w:r>
        <w:rPr>
          <w:rFonts w:hint="eastAsia"/>
        </w:rPr>
        <w:t>)</w:t>
      </w:r>
      <w:r>
        <w:rPr>
          <w:rFonts w:hint="eastAsia"/>
        </w:rPr>
        <w:t>可以记入购买项目，证券可以是组合的，不过贷款不能用于解决当前的现金问题。在特殊情况下，除其他外例如管理多余工作人员的方案，可以贷给营运资金，但只能用于在引进新生产线期间维持现有的雇员水平，新生产线应能使公司得到长期发展并从而创造新的就业机会。</w:t>
      </w:r>
    </w:p>
    <w:p w:rsidR="00000000" w:rsidRDefault="00000000">
      <w:pPr>
        <w:rPr>
          <w:rFonts w:hint="eastAsia"/>
        </w:rPr>
      </w:pPr>
      <w:r>
        <w:rPr>
          <w:rFonts w:hint="eastAsia"/>
        </w:rPr>
        <w:tab/>
        <w:t xml:space="preserve">88.  </w:t>
      </w:r>
      <w:r>
        <w:rPr>
          <w:rFonts w:hint="eastAsia"/>
        </w:rPr>
        <w:t>贷款方案可以与共同资助就业、额外培训和再培训方面的积极政策措施一起采用。提供这些贷款的最佳方式是与地方政府合作，以便贷款能用于促进经济发展的全面计划，而不成为绕过现有战略的特定解决办法。</w:t>
      </w:r>
    </w:p>
    <w:p w:rsidR="00000000" w:rsidRDefault="00000000">
      <w:pPr>
        <w:rPr>
          <w:rFonts w:hint="eastAsia"/>
        </w:rPr>
      </w:pPr>
      <w:r>
        <w:rPr>
          <w:rFonts w:hint="eastAsia"/>
        </w:rPr>
        <w:tab/>
        <w:t xml:space="preserve">89.  </w:t>
      </w:r>
      <w:r>
        <w:rPr>
          <w:rFonts w:hint="eastAsia"/>
        </w:rPr>
        <w:t>在这项方案中也与克罗地亚邮政银行进行合作，该银行承担职业介绍所委托的工作，也在某些投资中按</w:t>
      </w:r>
      <w:r>
        <w:rPr>
          <w:rFonts w:hint="eastAsia"/>
        </w:rPr>
        <w:t>1</w:t>
      </w:r>
      <w:r>
        <w:rPr>
          <w:rFonts w:hint="eastAsia"/>
        </w:rPr>
        <w:t>：</w:t>
      </w:r>
      <w:r>
        <w:rPr>
          <w:rFonts w:hint="eastAsia"/>
        </w:rPr>
        <w:t>1</w:t>
      </w:r>
      <w:r>
        <w:rPr>
          <w:rFonts w:hint="eastAsia"/>
        </w:rPr>
        <w:t>的比例投入自己的资本。今后在这项方案范围内进行合作的金融机构可望会增加，特别是在区域覆盖面扩大后。</w:t>
      </w:r>
    </w:p>
    <w:p w:rsidR="00000000" w:rsidRDefault="00000000">
      <w:pPr>
        <w:rPr>
          <w:rFonts w:hint="eastAsia"/>
        </w:rPr>
      </w:pPr>
      <w:r>
        <w:rPr>
          <w:rFonts w:hint="eastAsia"/>
        </w:rPr>
        <w:tab/>
        <w:t xml:space="preserve">90.  </w:t>
      </w:r>
      <w:r>
        <w:rPr>
          <w:rFonts w:hint="eastAsia"/>
        </w:rPr>
        <w:t>贷款从构想到落实不应超过</w:t>
      </w:r>
      <w:r>
        <w:rPr>
          <w:rFonts w:hint="eastAsia"/>
        </w:rPr>
        <w:t>1</w:t>
      </w:r>
      <w:r>
        <w:rPr>
          <w:rFonts w:hint="eastAsia"/>
        </w:rPr>
        <w:t>个月是极为重要的，商业银行也应当对鼓励中小型企业感兴趣，并准备承担在当今克罗地亚投资环境中所冒的风险。在</w:t>
      </w:r>
      <w:r>
        <w:rPr>
          <w:rFonts w:hint="eastAsia"/>
        </w:rPr>
        <w:t>1999</w:t>
      </w:r>
      <w:r>
        <w:rPr>
          <w:rFonts w:hint="eastAsia"/>
        </w:rPr>
        <w:t>年，共收到</w:t>
      </w:r>
      <w:r>
        <w:rPr>
          <w:rFonts w:hint="eastAsia"/>
        </w:rPr>
        <w:t>883</w:t>
      </w:r>
      <w:r>
        <w:rPr>
          <w:rFonts w:hint="eastAsia"/>
        </w:rPr>
        <w:t>项贷款申请，贷款总额为</w:t>
      </w:r>
      <w:r>
        <w:rPr>
          <w:rFonts w:hint="eastAsia"/>
        </w:rPr>
        <w:t>891,380,086.12</w:t>
      </w:r>
      <w:r>
        <w:rPr>
          <w:rFonts w:hint="eastAsia"/>
        </w:rPr>
        <w:t>库纳，这将导致失业者登记簿上的</w:t>
      </w:r>
      <w:r>
        <w:rPr>
          <w:rFonts w:hint="eastAsia"/>
        </w:rPr>
        <w:t>5,213</w:t>
      </w:r>
      <w:r>
        <w:rPr>
          <w:rFonts w:hint="eastAsia"/>
        </w:rPr>
        <w:t>人获得就业。</w:t>
      </w:r>
    </w:p>
    <w:p w:rsidR="00000000" w:rsidRDefault="00000000">
      <w:pPr>
        <w:rPr>
          <w:rFonts w:hint="eastAsia"/>
        </w:rPr>
      </w:pPr>
      <w:r>
        <w:rPr>
          <w:rFonts w:hint="eastAsia"/>
        </w:rPr>
        <w:tab/>
        <w:t xml:space="preserve">91.  </w:t>
      </w:r>
      <w:r>
        <w:rPr>
          <w:rFonts w:hint="eastAsia"/>
        </w:rPr>
        <w:t>公共工程方案在许多国家中执行，特别是在受到战争破坏或自然灾害的国家。当今公共工程往往被用于执行各式各样有益于社会的活动，从清除森林到照顾老人。所有这些活动都是私营公司不认为有利可图的活动，亦即属于由国家或地方政府负责的服务和工程范围内的活动。</w:t>
      </w:r>
    </w:p>
    <w:p w:rsidR="00000000" w:rsidRDefault="00000000">
      <w:pPr>
        <w:rPr>
          <w:rFonts w:hint="eastAsia"/>
        </w:rPr>
      </w:pPr>
      <w:r>
        <w:rPr>
          <w:rFonts w:hint="eastAsia"/>
        </w:rPr>
        <w:tab/>
        <w:t xml:space="preserve">92.  </w:t>
      </w:r>
      <w:r>
        <w:rPr>
          <w:rFonts w:hint="eastAsia"/>
        </w:rPr>
        <w:t>公共工程的另一个重要特点是其执行将可雇用失业登记簿上雇主不感兴趣的人。不幸的是，这些人几乎全部是超过</w:t>
      </w:r>
      <w:r>
        <w:rPr>
          <w:rFonts w:hint="eastAsia"/>
        </w:rPr>
        <w:t>40</w:t>
      </w:r>
      <w:r>
        <w:rPr>
          <w:rFonts w:hint="eastAsia"/>
        </w:rPr>
        <w:t>岁的失业者、有健康问题的人或因其他原因难以就业的人。</w:t>
      </w:r>
    </w:p>
    <w:p w:rsidR="00000000" w:rsidRDefault="00000000">
      <w:pPr>
        <w:rPr>
          <w:rFonts w:hint="eastAsia"/>
        </w:rPr>
      </w:pPr>
      <w:r>
        <w:rPr>
          <w:rFonts w:hint="eastAsia"/>
        </w:rPr>
        <w:tab/>
        <w:t xml:space="preserve">93.  </w:t>
      </w:r>
      <w:r>
        <w:rPr>
          <w:rFonts w:hint="eastAsia"/>
        </w:rPr>
        <w:t>由于克罗地亚共和国在重建过程中有许多工作要做，并且同时有很多人失业，因此我们认为公共工程是合乎时宜的干预劳动市场手段。其有用性在使流离失所者回归到经济发展还未达到它在发展和就业最前线能够达到的水平的地区的计划中特别明显，因为没有就业机会，就不会回归。</w:t>
      </w:r>
    </w:p>
    <w:p w:rsidR="00000000" w:rsidRDefault="00000000">
      <w:pPr>
        <w:rPr>
          <w:rFonts w:hint="eastAsia"/>
        </w:rPr>
      </w:pPr>
      <w:r>
        <w:rPr>
          <w:rFonts w:hint="eastAsia"/>
        </w:rPr>
        <w:tab/>
        <w:t xml:space="preserve">94.  </w:t>
      </w:r>
      <w:r>
        <w:rPr>
          <w:rFonts w:hint="eastAsia"/>
        </w:rPr>
        <w:t>职业介绍厅鼓励地方政府代表开始公共工程方案。他们大多数认识到其县或市在这一方案中的利益。由于这一对地方政府官员的鼓励，到</w:t>
      </w:r>
      <w:r>
        <w:rPr>
          <w:rFonts w:hint="eastAsia"/>
        </w:rPr>
        <w:t>1999</w:t>
      </w:r>
      <w:r>
        <w:rPr>
          <w:rFonts w:hint="eastAsia"/>
        </w:rPr>
        <w:t>年</w:t>
      </w:r>
      <w:r>
        <w:rPr>
          <w:rFonts w:hint="eastAsia"/>
        </w:rPr>
        <w:t>10</w:t>
      </w:r>
      <w:r>
        <w:rPr>
          <w:rFonts w:hint="eastAsia"/>
        </w:rPr>
        <w:t>月底，职业介绍厅从几乎所有的县收到了</w:t>
      </w:r>
      <w:r>
        <w:rPr>
          <w:rFonts w:hint="eastAsia"/>
        </w:rPr>
        <w:t>153</w:t>
      </w:r>
      <w:r>
        <w:rPr>
          <w:rFonts w:hint="eastAsia"/>
        </w:rPr>
        <w:t>项公共工程方案的申请，其中将</w:t>
      </w:r>
      <w:r>
        <w:rPr>
          <w:rFonts w:hint="eastAsia"/>
        </w:rPr>
        <w:t>2,000</w:t>
      </w:r>
      <w:r>
        <w:rPr>
          <w:rFonts w:hint="eastAsia"/>
        </w:rPr>
        <w:t>名失业者被雇用。执行这些方案所需的资金总额约为</w:t>
      </w:r>
      <w:r>
        <w:rPr>
          <w:rFonts w:hint="eastAsia"/>
        </w:rPr>
        <w:t>22,700,000.00</w:t>
      </w:r>
      <w:r>
        <w:rPr>
          <w:rFonts w:hint="eastAsia"/>
        </w:rPr>
        <w:t>库纳。</w:t>
      </w:r>
    </w:p>
    <w:p w:rsidR="00000000" w:rsidRDefault="00000000">
      <w:pPr>
        <w:rPr>
          <w:rFonts w:hint="eastAsia"/>
        </w:rPr>
      </w:pPr>
      <w:r>
        <w:rPr>
          <w:rFonts w:hint="eastAsia"/>
        </w:rPr>
        <w:tab/>
        <w:t xml:space="preserve">95.  </w:t>
      </w:r>
      <w:r>
        <w:rPr>
          <w:rFonts w:hint="eastAsia"/>
        </w:rPr>
        <w:t>照顾多余劳动力的方案是国家就业方案的内容之一，其目的是防止失业率上升，并帮助有失业危险的人迅速找到工作。</w:t>
      </w:r>
    </w:p>
    <w:p w:rsidR="00000000" w:rsidRDefault="00000000">
      <w:pPr>
        <w:rPr>
          <w:rFonts w:hint="eastAsia"/>
        </w:rPr>
      </w:pPr>
      <w:r>
        <w:rPr>
          <w:rFonts w:hint="eastAsia"/>
        </w:rPr>
        <w:tab/>
        <w:t xml:space="preserve">96.  </w:t>
      </w:r>
      <w:r>
        <w:rPr>
          <w:rFonts w:hint="eastAsia"/>
        </w:rPr>
        <w:t>对从职业介绍厅各地方办事处的记录得到的数据进行的分析显示，出现多余劳动力的最常见原因是私有化、公司改组、生产线改变、引起新技术、无法适应市场需要和其他类似原因。</w:t>
      </w:r>
    </w:p>
    <w:p w:rsidR="00000000" w:rsidRDefault="00000000">
      <w:pPr>
        <w:rPr>
          <w:rFonts w:hint="eastAsia"/>
        </w:rPr>
      </w:pPr>
      <w:r>
        <w:rPr>
          <w:rFonts w:hint="eastAsia"/>
        </w:rPr>
        <w:tab/>
        <w:t xml:space="preserve">97.  </w:t>
      </w:r>
      <w:r>
        <w:rPr>
          <w:rFonts w:hint="eastAsia"/>
        </w:rPr>
        <w:t>出现为多余劳动力的雇员结构表明这些人是在劳动市场上没有需求的人。多余劳动力的管理方案所包括的雇员一般是极难雇用的人、妇女、年长者和残疾者。</w:t>
      </w:r>
    </w:p>
    <w:p w:rsidR="00000000" w:rsidRDefault="00000000">
      <w:pPr>
        <w:rPr>
          <w:rFonts w:hint="eastAsia"/>
        </w:rPr>
      </w:pPr>
      <w:r>
        <w:rPr>
          <w:rFonts w:hint="eastAsia"/>
        </w:rPr>
        <w:tab/>
        <w:t xml:space="preserve">98.  </w:t>
      </w:r>
      <w:r>
        <w:rPr>
          <w:rFonts w:hint="eastAsia"/>
        </w:rPr>
        <w:t>确定有经营困难的雇主的方法有雇主本身与职业介绍厅联系说明出现多余劳动力的原因、雇员本身来到职业介绍厅询问到另一个雇主工作的机会、或者通过与工会或其他机构合作的方式。</w:t>
      </w:r>
    </w:p>
    <w:p w:rsidR="00000000" w:rsidRDefault="00000000">
      <w:pPr>
        <w:rPr>
          <w:rFonts w:hint="eastAsia"/>
        </w:rPr>
      </w:pPr>
      <w:r>
        <w:rPr>
          <w:rFonts w:hint="eastAsia"/>
        </w:rPr>
        <w:tab/>
        <w:t xml:space="preserve">99.  </w:t>
      </w:r>
      <w:r>
        <w:rPr>
          <w:rFonts w:hint="eastAsia"/>
        </w:rPr>
        <w:t>职业介绍厅的工作即使在拟订多余劳动力管理方案之前也已经很重要，因为雇主虽然构成该方案的每个部分，但有义务与雇员理事会协商，如果没有雇员理事会，则按照《劳工法》由职业介绍厅代行其职务。</w:t>
      </w:r>
    </w:p>
    <w:p w:rsidR="00000000" w:rsidRDefault="00000000">
      <w:pPr>
        <w:rPr>
          <w:rFonts w:hint="eastAsia"/>
        </w:rPr>
      </w:pPr>
      <w:r>
        <w:rPr>
          <w:rFonts w:hint="eastAsia"/>
        </w:rPr>
        <w:tab/>
        <w:t xml:space="preserve">100.  </w:t>
      </w:r>
      <w:r>
        <w:rPr>
          <w:rFonts w:hint="eastAsia"/>
        </w:rPr>
        <w:t>职业介绍厅进行咨询程序，包括向雇主和雇员提供信息、与雇员会谈和采取某些措施维持他们的工作。在这方面，职业介绍厅地方办事处订有统一的标准来管理就业服务处，以便帮助雇主和雇员找到适当的解决办法照顾多余的工人。就业服务处的专家小组</w:t>
      </w:r>
      <w:r>
        <w:rPr>
          <w:rFonts w:hint="eastAsia"/>
        </w:rPr>
        <w:t>(</w:t>
      </w:r>
      <w:r>
        <w:rPr>
          <w:rFonts w:hint="eastAsia"/>
        </w:rPr>
        <w:t>一位律师、心理学家、顾问和积极就业政策助理</w:t>
      </w:r>
      <w:r>
        <w:rPr>
          <w:rFonts w:hint="eastAsia"/>
        </w:rPr>
        <w:t>)</w:t>
      </w:r>
      <w:r>
        <w:rPr>
          <w:rFonts w:hint="eastAsia"/>
        </w:rPr>
        <w:t>进行这些活动。</w:t>
      </w:r>
    </w:p>
    <w:p w:rsidR="00000000" w:rsidRDefault="00000000">
      <w:pPr>
        <w:rPr>
          <w:rFonts w:hint="eastAsia"/>
        </w:rPr>
      </w:pPr>
      <w:r>
        <w:rPr>
          <w:rFonts w:hint="eastAsia"/>
        </w:rPr>
        <w:tab/>
        <w:t xml:space="preserve">101.  </w:t>
      </w:r>
      <w:r>
        <w:rPr>
          <w:rFonts w:hint="eastAsia"/>
        </w:rPr>
        <w:t>地方办事处专家小组的工作主要是及时建立与雇主和雇员的合作关系，</w:t>
      </w:r>
      <w:r>
        <w:rPr>
          <w:rFonts w:hint="eastAsia"/>
          <w:spacing w:val="0"/>
        </w:rPr>
        <w:t>向他们说明职业介绍厅的代理或中介工作</w:t>
      </w:r>
      <w:r>
        <w:rPr>
          <w:rFonts w:hint="eastAsia"/>
        </w:rPr>
        <w:t>、</w:t>
      </w:r>
      <w:r>
        <w:rPr>
          <w:rFonts w:hint="eastAsia"/>
          <w:spacing w:val="0"/>
        </w:rPr>
        <w:t>积极就业政策各项措施</w:t>
      </w:r>
      <w:r>
        <w:rPr>
          <w:rFonts w:hint="eastAsia"/>
        </w:rPr>
        <w:t>(</w:t>
      </w:r>
      <w:r>
        <w:rPr>
          <w:rFonts w:hint="eastAsia"/>
        </w:rPr>
        <w:t>特别是措施</w:t>
      </w:r>
      <w:r>
        <w:rPr>
          <w:rFonts w:hint="eastAsia"/>
        </w:rPr>
        <w:t>3</w:t>
      </w:r>
      <w:r>
        <w:rPr>
          <w:rFonts w:hint="eastAsia"/>
          <w:spacing w:val="-40"/>
          <w:sz w:val="22"/>
        </w:rPr>
        <w:t>——</w:t>
      </w:r>
      <w:r>
        <w:rPr>
          <w:sz w:val="22"/>
        </w:rPr>
        <w:t xml:space="preserve"> </w:t>
      </w:r>
      <w:r>
        <w:rPr>
          <w:rFonts w:hint="eastAsia"/>
        </w:rPr>
        <w:t>资格、再培训、额外培训</w:t>
      </w:r>
      <w:r>
        <w:rPr>
          <w:rFonts w:hint="eastAsia"/>
        </w:rPr>
        <w:t>)</w:t>
      </w:r>
      <w:r>
        <w:rPr>
          <w:rFonts w:hint="eastAsia"/>
        </w:rPr>
        <w:t>的实施情况、自我雇用的可能性和信贷额度。</w:t>
      </w:r>
    </w:p>
    <w:p w:rsidR="00000000" w:rsidRDefault="00000000">
      <w:pPr>
        <w:rPr>
          <w:rFonts w:hint="eastAsia"/>
        </w:rPr>
      </w:pPr>
      <w:r>
        <w:rPr>
          <w:rFonts w:hint="eastAsia"/>
        </w:rPr>
        <w:tab/>
        <w:t xml:space="preserve">102.  </w:t>
      </w:r>
      <w:r>
        <w:rPr>
          <w:rFonts w:hint="eastAsia"/>
        </w:rPr>
        <w:t>应当强调的是，根据《劳工法》，职业介绍厅地方办事处的意见和反对意见对于雇主执行方案并无约束力，只能使方案的执行延长</w:t>
      </w:r>
      <w:r>
        <w:rPr>
          <w:rFonts w:hint="eastAsia"/>
        </w:rPr>
        <w:t>3</w:t>
      </w:r>
      <w:r>
        <w:rPr>
          <w:rFonts w:hint="eastAsia"/>
        </w:rPr>
        <w:t>个月。</w:t>
      </w:r>
    </w:p>
    <w:p w:rsidR="00000000" w:rsidRDefault="00000000">
      <w:pPr>
        <w:rPr>
          <w:rFonts w:hint="eastAsia"/>
        </w:rPr>
      </w:pPr>
      <w:r>
        <w:rPr>
          <w:rFonts w:hint="eastAsia"/>
        </w:rPr>
        <w:tab/>
        <w:t xml:space="preserve">103.  </w:t>
      </w:r>
      <w:r>
        <w:rPr>
          <w:rFonts w:hint="eastAsia"/>
        </w:rPr>
        <w:t>在</w:t>
      </w:r>
      <w:r>
        <w:rPr>
          <w:rFonts w:hint="eastAsia"/>
        </w:rPr>
        <w:t>1998</w:t>
      </w:r>
      <w:r>
        <w:rPr>
          <w:rFonts w:hint="eastAsia"/>
        </w:rPr>
        <w:t>年，职业介绍厅处理了</w:t>
      </w:r>
      <w:r>
        <w:rPr>
          <w:rFonts w:hint="eastAsia"/>
        </w:rPr>
        <w:t>366</w:t>
      </w:r>
      <w:r>
        <w:rPr>
          <w:rFonts w:hint="eastAsia"/>
        </w:rPr>
        <w:t>项多余劳动力管理方案，涉及</w:t>
      </w:r>
      <w:r>
        <w:rPr>
          <w:rFonts w:hint="eastAsia"/>
        </w:rPr>
        <w:t>12,326</w:t>
      </w:r>
      <w:r>
        <w:rPr>
          <w:rFonts w:hint="eastAsia"/>
        </w:rPr>
        <w:t>名雇员。到</w:t>
      </w:r>
      <w:r>
        <w:rPr>
          <w:rFonts w:hint="eastAsia"/>
        </w:rPr>
        <w:t>1999</w:t>
      </w:r>
      <w:r>
        <w:rPr>
          <w:rFonts w:hint="eastAsia"/>
        </w:rPr>
        <w:t>年</w:t>
      </w:r>
      <w:r>
        <w:rPr>
          <w:rFonts w:hint="eastAsia"/>
        </w:rPr>
        <w:t>8</w:t>
      </w:r>
      <w:r>
        <w:rPr>
          <w:rFonts w:hint="eastAsia"/>
        </w:rPr>
        <w:t>月，收到了</w:t>
      </w:r>
      <w:r>
        <w:rPr>
          <w:rFonts w:hint="eastAsia"/>
        </w:rPr>
        <w:t>163</w:t>
      </w:r>
      <w:r>
        <w:rPr>
          <w:rFonts w:hint="eastAsia"/>
        </w:rPr>
        <w:t>项方案，涉及</w:t>
      </w:r>
      <w:r>
        <w:rPr>
          <w:rFonts w:hint="eastAsia"/>
        </w:rPr>
        <w:t>4,698</w:t>
      </w:r>
      <w:r>
        <w:rPr>
          <w:rFonts w:hint="eastAsia"/>
        </w:rPr>
        <w:t>人。应当指出，有些方案已得到通报或在准备中，其中一些方案目前正在就业服务处咨询过程中。</w:t>
      </w:r>
    </w:p>
    <w:p w:rsidR="00000000" w:rsidRDefault="00000000">
      <w:pPr>
        <w:rPr>
          <w:rFonts w:hint="eastAsia"/>
        </w:rPr>
      </w:pPr>
      <w:r>
        <w:rPr>
          <w:rFonts w:hint="eastAsia"/>
        </w:rPr>
        <w:tab/>
        <w:t xml:space="preserve">104.  </w:t>
      </w:r>
      <w:r>
        <w:rPr>
          <w:rFonts w:hint="eastAsia"/>
        </w:rPr>
        <w:t>职业介绍厅在进行这项照顾多余劳动力的工作中，遭遇了不少客观问题，例如老雇主和其他雇主都缺少新职位，方案所涉人员的身心问题，因此职业介绍厅实行的现有措施无法适用于他们。</w:t>
      </w:r>
    </w:p>
    <w:p w:rsidR="00000000" w:rsidRDefault="00000000">
      <w:pPr>
        <w:rPr>
          <w:rFonts w:hint="eastAsia"/>
        </w:rPr>
      </w:pPr>
      <w:r>
        <w:rPr>
          <w:rFonts w:hint="eastAsia"/>
        </w:rPr>
        <w:tab/>
        <w:t xml:space="preserve">105.  </w:t>
      </w:r>
      <w:r>
        <w:rPr>
          <w:rFonts w:hint="eastAsia"/>
        </w:rPr>
        <w:t>职业介绍厅也参与公司改组方案。在执行这项方案的范围内，职业介绍所坚持对现有人数的雇员进行再培训，如果发展计划表明公司无法保留相同人数的雇员，那么多余劳动力管理方案设想的手段将如下采用：</w:t>
      </w:r>
    </w:p>
    <w:p w:rsidR="00000000" w:rsidRDefault="00000000">
      <w:pPr>
        <w:numPr>
          <w:ilvl w:val="0"/>
          <w:numId w:val="31"/>
        </w:numPr>
        <w:rPr>
          <w:rFonts w:hint="eastAsia"/>
        </w:rPr>
      </w:pPr>
      <w:r>
        <w:rPr>
          <w:rFonts w:hint="eastAsia"/>
        </w:rPr>
        <w:t>共同资助现有雇员的再培训和额外培训，以便他们获得新工作所需的技能和知识；</w:t>
      </w:r>
    </w:p>
    <w:p w:rsidR="00000000" w:rsidRDefault="00000000">
      <w:pPr>
        <w:numPr>
          <w:ilvl w:val="0"/>
          <w:numId w:val="31"/>
        </w:numPr>
        <w:rPr>
          <w:rFonts w:hint="eastAsia"/>
        </w:rPr>
      </w:pPr>
      <w:r>
        <w:rPr>
          <w:rFonts w:hint="eastAsia"/>
        </w:rPr>
        <w:t>在雇员被记入职业介绍厅登记簿之前为他们进行职业介绍工作；</w:t>
      </w:r>
    </w:p>
    <w:p w:rsidR="00000000" w:rsidRDefault="00000000">
      <w:pPr>
        <w:numPr>
          <w:ilvl w:val="0"/>
          <w:numId w:val="31"/>
        </w:numPr>
        <w:rPr>
          <w:rFonts w:hint="eastAsia"/>
        </w:rPr>
      </w:pPr>
      <w:r>
        <w:rPr>
          <w:rFonts w:hint="eastAsia"/>
        </w:rPr>
        <w:t>提供自我雇用贷款，并让雇员参与自我雇用鼓励方案；</w:t>
      </w:r>
    </w:p>
    <w:p w:rsidR="00000000" w:rsidRDefault="00000000">
      <w:pPr>
        <w:numPr>
          <w:ilvl w:val="0"/>
          <w:numId w:val="31"/>
        </w:numPr>
        <w:rPr>
          <w:rFonts w:hint="eastAsia"/>
        </w:rPr>
      </w:pPr>
      <w:r>
        <w:rPr>
          <w:rFonts w:hint="eastAsia"/>
        </w:rPr>
        <w:t>在公司改组期间贷款给公司，帮助它在公司的未来发展方案内维持现有的雇员人数。为此目的，职业介绍厅已投入了</w:t>
      </w:r>
      <w:r>
        <w:rPr>
          <w:rFonts w:hint="eastAsia"/>
        </w:rPr>
        <w:t>1</w:t>
      </w:r>
      <w:r>
        <w:rPr>
          <w:rFonts w:hint="eastAsia"/>
        </w:rPr>
        <w:t>亿库纳的资金。</w:t>
      </w:r>
    </w:p>
    <w:p w:rsidR="00000000" w:rsidRDefault="00000000">
      <w:pPr>
        <w:spacing w:after="320"/>
        <w:rPr>
          <w:rFonts w:hint="eastAsia"/>
        </w:rPr>
      </w:pPr>
      <w:r>
        <w:rPr>
          <w:rFonts w:hint="eastAsia"/>
        </w:rPr>
        <w:tab/>
        <w:t xml:space="preserve">106.  </w:t>
      </w:r>
      <w:r>
        <w:rPr>
          <w:rFonts w:hint="eastAsia"/>
        </w:rPr>
        <w:t>我们认为，这些方案及其作用的不断更新，是职业介绍厅拥有的影响劳动市场以减少失业人数、创造新职位、减少结构性失业和帮助经济发展的有效长期手段。</w:t>
      </w:r>
    </w:p>
    <w:p w:rsidR="00000000" w:rsidRDefault="00000000">
      <w:pPr>
        <w:pStyle w:val="Heading3"/>
        <w:rPr>
          <w:rFonts w:hint="eastAsia"/>
        </w:rPr>
      </w:pPr>
      <w:r>
        <w:rPr>
          <w:rFonts w:hint="eastAsia"/>
        </w:rPr>
        <w:t>第</w:t>
      </w:r>
      <w:r>
        <w:t xml:space="preserve"> </w:t>
      </w:r>
      <w:r>
        <w:rPr>
          <w:rFonts w:hint="eastAsia"/>
        </w:rPr>
        <w:t>7</w:t>
      </w:r>
      <w:r>
        <w:t xml:space="preserve"> </w:t>
      </w:r>
      <w:r>
        <w:rPr>
          <w:rFonts w:hint="eastAsia"/>
        </w:rPr>
        <w:t>条</w:t>
      </w:r>
    </w:p>
    <w:p w:rsidR="00000000" w:rsidRDefault="00000000">
      <w:pPr>
        <w:rPr>
          <w:rFonts w:hint="eastAsia"/>
        </w:rPr>
      </w:pPr>
      <w:r>
        <w:rPr>
          <w:rFonts w:hint="eastAsia"/>
        </w:rPr>
        <w:tab/>
        <w:t xml:space="preserve">107.  </w:t>
      </w:r>
      <w:r>
        <w:rPr>
          <w:rFonts w:hint="eastAsia"/>
        </w:rPr>
        <w:t>克罗地亚共和国是下列国际劳工组织公约的缔约国：</w:t>
      </w:r>
    </w:p>
    <w:p w:rsidR="00000000" w:rsidRDefault="00000000">
      <w:pPr>
        <w:ind w:left="1040"/>
        <w:rPr>
          <w:rFonts w:hint="eastAsia"/>
        </w:rPr>
      </w:pPr>
      <w:r>
        <w:rPr>
          <w:rFonts w:hint="eastAsia"/>
        </w:rPr>
        <w:t>同酬公约，</w:t>
      </w:r>
      <w:r>
        <w:rPr>
          <w:rFonts w:hint="eastAsia"/>
        </w:rPr>
        <w:t>1951</w:t>
      </w:r>
      <w:r>
        <w:rPr>
          <w:rFonts w:hint="eastAsia"/>
        </w:rPr>
        <w:t>年</w:t>
      </w:r>
      <w:r>
        <w:rPr>
          <w:rFonts w:hint="eastAsia"/>
        </w:rPr>
        <w:t>(</w:t>
      </w:r>
      <w:r>
        <w:rPr>
          <w:rFonts w:hint="eastAsia"/>
        </w:rPr>
        <w:t>第</w:t>
      </w:r>
      <w:r>
        <w:rPr>
          <w:rFonts w:hint="eastAsia"/>
        </w:rPr>
        <w:t>100</w:t>
      </w:r>
      <w:r>
        <w:rPr>
          <w:rFonts w:hint="eastAsia"/>
        </w:rPr>
        <w:t>号</w:t>
      </w:r>
      <w:r>
        <w:rPr>
          <w:rFonts w:hint="eastAsia"/>
        </w:rPr>
        <w:t>)</w:t>
      </w:r>
      <w:r>
        <w:rPr>
          <w:rFonts w:hint="eastAsia"/>
        </w:rPr>
        <w:t>；</w:t>
      </w:r>
    </w:p>
    <w:p w:rsidR="00000000" w:rsidRDefault="00000000">
      <w:pPr>
        <w:ind w:left="1040"/>
        <w:rPr>
          <w:rFonts w:hint="eastAsia"/>
        </w:rPr>
      </w:pPr>
      <w:r>
        <w:rPr>
          <w:rFonts w:hint="eastAsia"/>
        </w:rPr>
        <w:t>(</w:t>
      </w:r>
      <w:r>
        <w:rPr>
          <w:rFonts w:hint="eastAsia"/>
        </w:rPr>
        <w:t>工业</w:t>
      </w:r>
      <w:r>
        <w:rPr>
          <w:rFonts w:hint="eastAsia"/>
        </w:rPr>
        <w:t>)</w:t>
      </w:r>
      <w:r>
        <w:rPr>
          <w:rFonts w:hint="eastAsia"/>
        </w:rPr>
        <w:t>每周休息公约，</w:t>
      </w:r>
      <w:r>
        <w:rPr>
          <w:rFonts w:hint="eastAsia"/>
        </w:rPr>
        <w:t>1921</w:t>
      </w:r>
      <w:r>
        <w:rPr>
          <w:rFonts w:hint="eastAsia"/>
        </w:rPr>
        <w:t>年</w:t>
      </w:r>
      <w:r>
        <w:rPr>
          <w:rFonts w:hint="eastAsia"/>
        </w:rPr>
        <w:t>(</w:t>
      </w:r>
      <w:r>
        <w:rPr>
          <w:rFonts w:hint="eastAsia"/>
        </w:rPr>
        <w:t>第</w:t>
      </w:r>
      <w:r>
        <w:rPr>
          <w:rFonts w:hint="eastAsia"/>
        </w:rPr>
        <w:t>14</w:t>
      </w:r>
      <w:r>
        <w:rPr>
          <w:rFonts w:hint="eastAsia"/>
        </w:rPr>
        <w:t>号</w:t>
      </w:r>
      <w:r>
        <w:rPr>
          <w:rFonts w:hint="eastAsia"/>
        </w:rPr>
        <w:t>)</w:t>
      </w:r>
      <w:r>
        <w:rPr>
          <w:rFonts w:hint="eastAsia"/>
        </w:rPr>
        <w:t>；</w:t>
      </w:r>
    </w:p>
    <w:p w:rsidR="00000000" w:rsidRDefault="00000000">
      <w:pPr>
        <w:ind w:left="1040"/>
        <w:rPr>
          <w:rFonts w:hint="eastAsia"/>
        </w:rPr>
      </w:pPr>
      <w:r>
        <w:rPr>
          <w:rFonts w:hint="eastAsia"/>
        </w:rPr>
        <w:t>(</w:t>
      </w:r>
      <w:r>
        <w:rPr>
          <w:rFonts w:hint="eastAsia"/>
        </w:rPr>
        <w:t>商业和办公处所</w:t>
      </w:r>
      <w:r>
        <w:rPr>
          <w:rFonts w:hint="eastAsia"/>
        </w:rPr>
        <w:t>)</w:t>
      </w:r>
      <w:r>
        <w:rPr>
          <w:rFonts w:hint="eastAsia"/>
        </w:rPr>
        <w:t>每周休息公约，</w:t>
      </w:r>
      <w:r>
        <w:rPr>
          <w:rFonts w:hint="eastAsia"/>
        </w:rPr>
        <w:t>1957</w:t>
      </w:r>
      <w:r>
        <w:rPr>
          <w:rFonts w:hint="eastAsia"/>
        </w:rPr>
        <w:t>年</w:t>
      </w:r>
      <w:r>
        <w:rPr>
          <w:rFonts w:hint="eastAsia"/>
        </w:rPr>
        <w:t>(</w:t>
      </w:r>
      <w:r>
        <w:rPr>
          <w:rFonts w:hint="eastAsia"/>
        </w:rPr>
        <w:t>第</w:t>
      </w:r>
      <w:r>
        <w:rPr>
          <w:rFonts w:hint="eastAsia"/>
        </w:rPr>
        <w:t>106</w:t>
      </w:r>
      <w:r>
        <w:rPr>
          <w:rFonts w:hint="eastAsia"/>
        </w:rPr>
        <w:t>号</w:t>
      </w:r>
      <w:r>
        <w:rPr>
          <w:rFonts w:hint="eastAsia"/>
        </w:rPr>
        <w:t>)</w:t>
      </w:r>
      <w:r>
        <w:rPr>
          <w:rFonts w:hint="eastAsia"/>
        </w:rPr>
        <w:t>；</w:t>
      </w:r>
    </w:p>
    <w:p w:rsidR="00000000" w:rsidRDefault="00000000">
      <w:pPr>
        <w:ind w:left="1040"/>
        <w:rPr>
          <w:rFonts w:hint="eastAsia"/>
        </w:rPr>
      </w:pPr>
      <w:r>
        <w:rPr>
          <w:rFonts w:hint="eastAsia"/>
        </w:rPr>
        <w:t>带酬休假公约</w:t>
      </w:r>
      <w:r>
        <w:rPr>
          <w:rFonts w:hint="eastAsia"/>
        </w:rPr>
        <w:t>(</w:t>
      </w:r>
      <w:r>
        <w:rPr>
          <w:rFonts w:hint="eastAsia"/>
        </w:rPr>
        <w:t>修订</w:t>
      </w:r>
      <w:r>
        <w:rPr>
          <w:rFonts w:hint="eastAsia"/>
        </w:rPr>
        <w:t>)</w:t>
      </w:r>
      <w:r>
        <w:rPr>
          <w:rFonts w:hint="eastAsia"/>
        </w:rPr>
        <w:t>，</w:t>
      </w:r>
      <w:r>
        <w:rPr>
          <w:rFonts w:hint="eastAsia"/>
        </w:rPr>
        <w:t>1970</w:t>
      </w:r>
      <w:r>
        <w:rPr>
          <w:rFonts w:hint="eastAsia"/>
        </w:rPr>
        <w:t>年</w:t>
      </w:r>
      <w:r>
        <w:rPr>
          <w:rFonts w:hint="eastAsia"/>
        </w:rPr>
        <w:t>(</w:t>
      </w:r>
      <w:r>
        <w:rPr>
          <w:rFonts w:hint="eastAsia"/>
        </w:rPr>
        <w:t>第</w:t>
      </w:r>
      <w:r>
        <w:rPr>
          <w:rFonts w:hint="eastAsia"/>
        </w:rPr>
        <w:t>132</w:t>
      </w:r>
      <w:r>
        <w:rPr>
          <w:rFonts w:hint="eastAsia"/>
        </w:rPr>
        <w:t>号</w:t>
      </w:r>
      <w:r>
        <w:rPr>
          <w:rFonts w:hint="eastAsia"/>
        </w:rPr>
        <w:t>)</w:t>
      </w:r>
      <w:r>
        <w:rPr>
          <w:rFonts w:hint="eastAsia"/>
        </w:rPr>
        <w:t>；</w:t>
      </w:r>
    </w:p>
    <w:p w:rsidR="00000000" w:rsidRDefault="00000000">
      <w:pPr>
        <w:ind w:left="1040"/>
        <w:rPr>
          <w:rFonts w:hint="eastAsia"/>
        </w:rPr>
      </w:pPr>
      <w:r>
        <w:rPr>
          <w:rFonts w:hint="eastAsia"/>
        </w:rPr>
        <w:t>劳动监察公约，</w:t>
      </w:r>
      <w:r>
        <w:rPr>
          <w:rFonts w:hint="eastAsia"/>
        </w:rPr>
        <w:t>1947</w:t>
      </w:r>
      <w:r>
        <w:rPr>
          <w:rFonts w:hint="eastAsia"/>
        </w:rPr>
        <w:t>年</w:t>
      </w:r>
      <w:r>
        <w:rPr>
          <w:rFonts w:hint="eastAsia"/>
        </w:rPr>
        <w:t>(</w:t>
      </w:r>
      <w:r>
        <w:rPr>
          <w:rFonts w:hint="eastAsia"/>
        </w:rPr>
        <w:t>第</w:t>
      </w:r>
      <w:r>
        <w:rPr>
          <w:rFonts w:hint="eastAsia"/>
        </w:rPr>
        <w:t>81</w:t>
      </w:r>
      <w:r>
        <w:rPr>
          <w:rFonts w:hint="eastAsia"/>
        </w:rPr>
        <w:t>号</w:t>
      </w:r>
      <w:r>
        <w:rPr>
          <w:rFonts w:hint="eastAsia"/>
        </w:rPr>
        <w:t>)</w:t>
      </w:r>
      <w:r>
        <w:rPr>
          <w:rFonts w:hint="eastAsia"/>
        </w:rPr>
        <w:t>；</w:t>
      </w:r>
    </w:p>
    <w:p w:rsidR="00000000" w:rsidRDefault="00000000">
      <w:pPr>
        <w:ind w:left="1040"/>
        <w:rPr>
          <w:rFonts w:hint="eastAsia"/>
        </w:rPr>
      </w:pPr>
      <w:r>
        <w:rPr>
          <w:rFonts w:hint="eastAsia"/>
        </w:rPr>
        <w:t>(</w:t>
      </w:r>
      <w:r>
        <w:rPr>
          <w:rFonts w:hint="eastAsia"/>
        </w:rPr>
        <w:t>农业</w:t>
      </w:r>
      <w:r>
        <w:rPr>
          <w:rFonts w:hint="eastAsia"/>
        </w:rPr>
        <w:t>)</w:t>
      </w:r>
      <w:r>
        <w:rPr>
          <w:rFonts w:hint="eastAsia"/>
        </w:rPr>
        <w:t>营运监察公约，</w:t>
      </w:r>
      <w:r>
        <w:rPr>
          <w:rFonts w:hint="eastAsia"/>
        </w:rPr>
        <w:t>1969</w:t>
      </w:r>
      <w:r>
        <w:rPr>
          <w:rFonts w:hint="eastAsia"/>
        </w:rPr>
        <w:t>年</w:t>
      </w:r>
      <w:r>
        <w:rPr>
          <w:rFonts w:hint="eastAsia"/>
        </w:rPr>
        <w:t>(</w:t>
      </w:r>
      <w:r>
        <w:rPr>
          <w:rFonts w:hint="eastAsia"/>
        </w:rPr>
        <w:t>第</w:t>
      </w:r>
      <w:r>
        <w:rPr>
          <w:rFonts w:hint="eastAsia"/>
        </w:rPr>
        <w:t>129</w:t>
      </w:r>
      <w:r>
        <w:rPr>
          <w:rFonts w:hint="eastAsia"/>
        </w:rPr>
        <w:t>号</w:t>
      </w:r>
      <w:r>
        <w:rPr>
          <w:rFonts w:hint="eastAsia"/>
        </w:rPr>
        <w:t>)</w:t>
      </w:r>
      <w:r>
        <w:rPr>
          <w:rFonts w:hint="eastAsia"/>
        </w:rPr>
        <w:t>；</w:t>
      </w:r>
    </w:p>
    <w:p w:rsidR="00000000" w:rsidRDefault="00000000">
      <w:pPr>
        <w:ind w:left="1040"/>
        <w:rPr>
          <w:rFonts w:hint="eastAsia"/>
        </w:rPr>
      </w:pPr>
      <w:r>
        <w:rPr>
          <w:rFonts w:hint="eastAsia"/>
        </w:rPr>
        <w:t>职业安全和卫生公约，</w:t>
      </w:r>
      <w:r>
        <w:rPr>
          <w:rFonts w:hint="eastAsia"/>
        </w:rPr>
        <w:t>1981</w:t>
      </w:r>
      <w:r>
        <w:rPr>
          <w:rFonts w:hint="eastAsia"/>
        </w:rPr>
        <w:t>年</w:t>
      </w:r>
      <w:r>
        <w:rPr>
          <w:rFonts w:hint="eastAsia"/>
        </w:rPr>
        <w:t>(</w:t>
      </w:r>
      <w:r>
        <w:rPr>
          <w:rFonts w:hint="eastAsia"/>
        </w:rPr>
        <w:t>第</w:t>
      </w:r>
      <w:r>
        <w:rPr>
          <w:rFonts w:hint="eastAsia"/>
        </w:rPr>
        <w:t>155</w:t>
      </w:r>
      <w:r>
        <w:rPr>
          <w:rFonts w:hint="eastAsia"/>
        </w:rPr>
        <w:t>号</w:t>
      </w:r>
      <w:r>
        <w:rPr>
          <w:rFonts w:hint="eastAsia"/>
        </w:rPr>
        <w:t>)</w:t>
      </w:r>
      <w:r>
        <w:rPr>
          <w:rFonts w:hint="eastAsia"/>
        </w:rPr>
        <w:t>。</w:t>
      </w:r>
    </w:p>
    <w:p w:rsidR="00000000" w:rsidRDefault="00000000">
      <w:pPr>
        <w:rPr>
          <w:rFonts w:hint="eastAsia"/>
        </w:rPr>
      </w:pPr>
      <w:r>
        <w:rPr>
          <w:rFonts w:hint="eastAsia"/>
        </w:rPr>
        <w:tab/>
      </w:r>
      <w:r>
        <w:rPr>
          <w:rFonts w:hint="eastAsia"/>
        </w:rPr>
        <w:t>克罗地亚也定期向有关机构提交关于这些公约实施情况的报告。因此我们将参照这些报告述及《公约》第</w:t>
      </w:r>
      <w:r>
        <w:rPr>
          <w:rFonts w:hint="eastAsia"/>
        </w:rPr>
        <w:t>7</w:t>
      </w:r>
      <w:r>
        <w:rPr>
          <w:rFonts w:hint="eastAsia"/>
        </w:rPr>
        <w:t>条所规定权利的部分。</w:t>
      </w:r>
    </w:p>
    <w:p w:rsidR="00000000" w:rsidRDefault="00000000">
      <w:pPr>
        <w:rPr>
          <w:rFonts w:hint="eastAsia"/>
        </w:rPr>
      </w:pPr>
      <w:r>
        <w:rPr>
          <w:rFonts w:hint="eastAsia"/>
        </w:rPr>
        <w:tab/>
        <w:t xml:space="preserve">108.  </w:t>
      </w:r>
      <w:r>
        <w:rPr>
          <w:rFonts w:hint="eastAsia"/>
        </w:rPr>
        <w:t>《劳工法》基本概念所依据的原则是尊重集体谈判的完全自由和促进所有各级的集体谈判，以便解决与集体协议有关的所有问题，特别是工资、其他福利和报酬问题以及依照劳工法据以将社会福利</w:t>
      </w:r>
      <w:r>
        <w:rPr>
          <w:rFonts w:hint="eastAsia"/>
          <w:spacing w:val="-40"/>
          <w:sz w:val="22"/>
        </w:rPr>
        <w:t>——</w:t>
      </w:r>
      <w:r>
        <w:rPr>
          <w:sz w:val="22"/>
        </w:rPr>
        <w:t xml:space="preserve"> </w:t>
      </w:r>
      <w:r>
        <w:rPr>
          <w:rFonts w:hint="eastAsia"/>
        </w:rPr>
        <w:t>市场经济模式引进克罗地亚经济体系的概念应享有的物质权利。这一模式设想在同时平等地一方面实现私人所有制和企业自由，另一方面实现社会正义、平等机会和慈善，这是与宪法对克罗地亚共和国的定义一致的，即克罗地亚共和国是保障财产权利和企业自由的社会福利国家。规定工资将是国家直接和全面干预雇用问题。将大大削弱企业家的积极性，威胁利润动因和经济活动。劳工法第</w:t>
      </w:r>
      <w:r>
        <w:rPr>
          <w:rFonts w:hint="eastAsia"/>
        </w:rPr>
        <w:t>3</w:t>
      </w:r>
      <w:r>
        <w:rPr>
          <w:rFonts w:hint="eastAsia"/>
        </w:rPr>
        <w:t>条规定雇主有义务为工人所完成的工作向他支付工资或薪金。</w:t>
      </w:r>
    </w:p>
    <w:p w:rsidR="00000000" w:rsidRDefault="00000000">
      <w:pPr>
        <w:rPr>
          <w:rFonts w:hint="eastAsia"/>
        </w:rPr>
      </w:pPr>
      <w:r>
        <w:rPr>
          <w:rFonts w:hint="eastAsia"/>
        </w:rPr>
        <w:tab/>
        <w:t xml:space="preserve">109.  </w:t>
      </w:r>
      <w:r>
        <w:rPr>
          <w:rFonts w:hint="eastAsia"/>
        </w:rPr>
        <w:t>根据劳工法第</w:t>
      </w:r>
      <w:r>
        <w:rPr>
          <w:rFonts w:hint="eastAsia"/>
        </w:rPr>
        <w:t>12</w:t>
      </w:r>
      <w:r>
        <w:rPr>
          <w:rFonts w:hint="eastAsia"/>
        </w:rPr>
        <w:t>条，付款是书面雇用合同必须有的一个项目。在克罗地亚共和国，薪金由各当事方自行决定，支付薪金的基数和标准在个别雇用合同、集体协议或劳动条例中规定</w:t>
      </w:r>
      <w:r>
        <w:rPr>
          <w:rFonts w:hint="eastAsia"/>
        </w:rPr>
        <w:t>(</w:t>
      </w:r>
      <w:r>
        <w:rPr>
          <w:rFonts w:hint="eastAsia"/>
        </w:rPr>
        <w:t>劳工法第</w:t>
      </w:r>
      <w:r>
        <w:rPr>
          <w:rFonts w:hint="eastAsia"/>
        </w:rPr>
        <w:t>81</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110.  </w:t>
      </w:r>
      <w:r>
        <w:rPr>
          <w:rFonts w:hint="eastAsia"/>
        </w:rPr>
        <w:t>受集体协议条款约束的雇主付给雇员的薪金数额不得少于集体协议规定的数额。如果支付薪金的基数和标准没有在集体协议中规定，雇员超过</w:t>
      </w:r>
      <w:r>
        <w:rPr>
          <w:rFonts w:hint="eastAsia"/>
        </w:rPr>
        <w:t>20</w:t>
      </w:r>
      <w:r>
        <w:rPr>
          <w:rFonts w:hint="eastAsia"/>
        </w:rPr>
        <w:t>人的任何雇主必须在劳动条例中加以规定。</w:t>
      </w:r>
    </w:p>
    <w:p w:rsidR="00000000" w:rsidRDefault="00000000">
      <w:pPr>
        <w:rPr>
          <w:rFonts w:hint="eastAsia"/>
        </w:rPr>
      </w:pPr>
      <w:r>
        <w:rPr>
          <w:rFonts w:hint="eastAsia"/>
        </w:rPr>
        <w:tab/>
        <w:t xml:space="preserve">111.  </w:t>
      </w:r>
      <w:r>
        <w:rPr>
          <w:rFonts w:hint="eastAsia"/>
        </w:rPr>
        <w:t>如果薪金没有按上述两种方式确定，并且雇用合同中没有足够的资料可供确定，雇主必须向雇员支付适当的薪金。适当的薪金是指定期照例按同工同酬支付的工资</w:t>
      </w:r>
      <w:r>
        <w:rPr>
          <w:rFonts w:hint="eastAsia"/>
        </w:rPr>
        <w:t>(</w:t>
      </w:r>
      <w:r>
        <w:rPr>
          <w:rFonts w:hint="eastAsia"/>
        </w:rPr>
        <w:t>劳工法第</w:t>
      </w:r>
      <w:r>
        <w:rPr>
          <w:rFonts w:hint="eastAsia"/>
        </w:rPr>
        <w:t>81</w:t>
      </w:r>
      <w:r>
        <w:rPr>
          <w:rFonts w:hint="eastAsia"/>
        </w:rPr>
        <w:t>条</w:t>
      </w:r>
      <w:r>
        <w:rPr>
          <w:rFonts w:hint="eastAsia"/>
        </w:rPr>
        <w:t>)</w:t>
      </w:r>
      <w:r>
        <w:rPr>
          <w:rFonts w:hint="eastAsia"/>
        </w:rPr>
        <w:t>。根据劳工法第</w:t>
      </w:r>
      <w:r>
        <w:rPr>
          <w:rFonts w:hint="eastAsia"/>
        </w:rPr>
        <w:t>84</w:t>
      </w:r>
      <w:r>
        <w:rPr>
          <w:rFonts w:hint="eastAsia"/>
        </w:rPr>
        <w:t>条，雇员有权因工作条件加重、加班和夜班以及在星期日、公共或宗教假日和其他一些法定非工作日工作而得到额外的工资。</w:t>
      </w:r>
    </w:p>
    <w:p w:rsidR="00000000" w:rsidRDefault="00000000">
      <w:pPr>
        <w:rPr>
          <w:rFonts w:hint="eastAsia"/>
        </w:rPr>
      </w:pPr>
      <w:r>
        <w:rPr>
          <w:rFonts w:hint="eastAsia"/>
        </w:rPr>
        <w:tab/>
        <w:t xml:space="preserve">112.  </w:t>
      </w:r>
      <w:r>
        <w:rPr>
          <w:rFonts w:hint="eastAsia"/>
        </w:rPr>
        <w:t>文官和公务员的薪金由法律确定，法律将官员和雇员按职位、等级和工作划入薪金级别。</w:t>
      </w:r>
    </w:p>
    <w:p w:rsidR="00000000" w:rsidRDefault="00000000">
      <w:pPr>
        <w:rPr>
          <w:rFonts w:hint="eastAsia"/>
        </w:rPr>
      </w:pPr>
      <w:r>
        <w:rPr>
          <w:rFonts w:hint="eastAsia"/>
        </w:rPr>
        <w:tab/>
        <w:t xml:space="preserve">113.  </w:t>
      </w:r>
      <w:r>
        <w:rPr>
          <w:rFonts w:hint="eastAsia"/>
        </w:rPr>
        <w:t>官员的薪金是官员被划入或被任命的职位的薪金级别用一个系数表示的价值乘以政策确定的底薪得到的数额，雇员的薪金是其工作的薪金级别用一个系数表示的价值乘以政府确定的底薪得到的数额，除非集体协议以另外的方式确定。官员和雇员的底薪在集体协议中规定。对于公职人员，官员和雇员的薪金也按级别确定，每个级别的价值由法律规定。底薪在集体协议中规定。</w:t>
      </w:r>
    </w:p>
    <w:p w:rsidR="00000000" w:rsidRDefault="00000000">
      <w:pPr>
        <w:rPr>
          <w:rFonts w:hint="eastAsia"/>
        </w:rPr>
      </w:pPr>
      <w:r>
        <w:rPr>
          <w:rFonts w:hint="eastAsia"/>
        </w:rPr>
        <w:tab/>
        <w:t xml:space="preserve">114.  </w:t>
      </w:r>
      <w:r>
        <w:rPr>
          <w:rFonts w:hint="eastAsia"/>
        </w:rPr>
        <w:t>在克罗地亚共和国，薪金由各当事方自行确定，最低薪金的确定也是如此。政府只通过其决定规定付给社会保险金的最低数额。</w:t>
      </w:r>
    </w:p>
    <w:p w:rsidR="00000000" w:rsidRDefault="00000000">
      <w:pPr>
        <w:rPr>
          <w:rFonts w:hint="eastAsia"/>
        </w:rPr>
      </w:pPr>
      <w:r>
        <w:rPr>
          <w:rFonts w:hint="eastAsia"/>
        </w:rPr>
        <w:tab/>
        <w:t xml:space="preserve">115.  </w:t>
      </w:r>
      <w:r>
        <w:rPr>
          <w:rFonts w:hint="eastAsia"/>
        </w:rPr>
        <w:t>政府在</w:t>
      </w:r>
      <w:r>
        <w:rPr>
          <w:rFonts w:hint="eastAsia"/>
        </w:rPr>
        <w:t>1999</w:t>
      </w:r>
      <w:r>
        <w:rPr>
          <w:rFonts w:hint="eastAsia"/>
        </w:rPr>
        <w:t>年</w:t>
      </w:r>
      <w:r>
        <w:rPr>
          <w:rFonts w:hint="eastAsia"/>
        </w:rPr>
        <w:t>3</w:t>
      </w:r>
      <w:r>
        <w:rPr>
          <w:rFonts w:hint="eastAsia"/>
        </w:rPr>
        <w:t>月</w:t>
      </w:r>
      <w:r>
        <w:rPr>
          <w:rFonts w:hint="eastAsia"/>
        </w:rPr>
        <w:t>6</w:t>
      </w:r>
      <w:r>
        <w:rPr>
          <w:rFonts w:hint="eastAsia"/>
        </w:rPr>
        <w:t>日与雇主协会签订的关于最低工资数额的集体协议中规定了最低工资，通过劳动和社会福利部的一项决定，这一最低工资扩大适用于克罗地亚共和国的所有雇主和雇员。在该集体协议中，缔约各方决定最低工资数额不能低于特殊条例规定的用于计算和支付退休和残疾保险费的最低基数。</w:t>
      </w:r>
    </w:p>
    <w:p w:rsidR="00000000" w:rsidRDefault="00000000">
      <w:pPr>
        <w:rPr>
          <w:rFonts w:hint="eastAsia"/>
        </w:rPr>
      </w:pPr>
      <w:r>
        <w:rPr>
          <w:rFonts w:hint="eastAsia"/>
        </w:rPr>
        <w:tab/>
        <w:t xml:space="preserve">116.  </w:t>
      </w:r>
      <w:r>
        <w:rPr>
          <w:rFonts w:hint="eastAsia"/>
        </w:rPr>
        <w:t>根据克罗地亚退休保险协会最近的决定</w:t>
      </w:r>
      <w:r>
        <w:rPr>
          <w:rFonts w:hint="eastAsia"/>
        </w:rPr>
        <w:t>(</w:t>
      </w:r>
      <w:r>
        <w:rPr>
          <w:rFonts w:hint="eastAsia"/>
        </w:rPr>
        <w:t>政府公报，</w:t>
      </w:r>
      <w:r>
        <w:rPr>
          <w:rFonts w:hint="eastAsia"/>
        </w:rPr>
        <w:t>14/99)</w:t>
      </w:r>
      <w:r>
        <w:rPr>
          <w:rFonts w:hint="eastAsia"/>
        </w:rPr>
        <w:t>，如以工资作为基数，用于计算和支付保险费和向退休保险索赔的权利的最低基数订为</w:t>
      </w:r>
      <w:r>
        <w:rPr>
          <w:rFonts w:hint="eastAsia"/>
        </w:rPr>
        <w:t>1,500.00</w:t>
      </w:r>
      <w:r>
        <w:rPr>
          <w:rFonts w:hint="eastAsia"/>
        </w:rPr>
        <w:t>库纳。这一基数是为全时工作者规定的。对于非全时工作的雇员，保险费是按最低基数乘以工作时间的百分率计算和支付的。</w:t>
      </w:r>
    </w:p>
    <w:p w:rsidR="00000000" w:rsidRDefault="00000000">
      <w:pPr>
        <w:rPr>
          <w:rFonts w:hint="eastAsia"/>
        </w:rPr>
      </w:pPr>
      <w:r>
        <w:rPr>
          <w:rFonts w:hint="eastAsia"/>
        </w:rPr>
        <w:tab/>
        <w:t xml:space="preserve">117.  </w:t>
      </w:r>
      <w:r>
        <w:rPr>
          <w:rFonts w:hint="eastAsia"/>
        </w:rPr>
        <w:t>尽管雇主和雇员之间可自由签订工作条件，包括确定薪金和工资基数和标准的条件，但《劳工法》具体地禁止这方面基于性别的歧视。劳工法第</w:t>
      </w:r>
      <w:r>
        <w:rPr>
          <w:rFonts w:hint="eastAsia"/>
        </w:rPr>
        <w:t>82</w:t>
      </w:r>
      <w:r>
        <w:rPr>
          <w:rFonts w:hint="eastAsia"/>
        </w:rPr>
        <w:t>条规定雇主必须向做同样工作和相同价值工作的男女雇员支付相同的工资，雇用合同、集体协议、工作条例或任何其他文书的任何规定如不符合这一规定即无效。这一规定一贯地得到执行。</w:t>
      </w:r>
    </w:p>
    <w:p w:rsidR="00000000" w:rsidRDefault="00000000">
      <w:pPr>
        <w:rPr>
          <w:rFonts w:hint="eastAsia"/>
        </w:rPr>
      </w:pPr>
      <w:r>
        <w:rPr>
          <w:rFonts w:hint="eastAsia"/>
        </w:rPr>
        <w:tab/>
        <w:t xml:space="preserve">118.  </w:t>
      </w:r>
      <w:r>
        <w:rPr>
          <w:rFonts w:hint="eastAsia"/>
        </w:rPr>
        <w:t>做相同工作和等值工作的男女得到相同的工资。有问题的是确定不同职业的工作是否价值相等的评估方式，因为使用的参数是过时的。为此，克罗地亚共和国政府在执行促进男女平等的国家政策范围内，在劳工组织的协助下开展了一项检验等值工作评估方法的项目。</w:t>
      </w:r>
    </w:p>
    <w:p w:rsidR="00000000" w:rsidRDefault="00000000">
      <w:pPr>
        <w:rPr>
          <w:rFonts w:hint="eastAsia"/>
        </w:rPr>
      </w:pPr>
      <w:r>
        <w:rPr>
          <w:rFonts w:hint="eastAsia"/>
        </w:rPr>
        <w:tab/>
        <w:t xml:space="preserve">119.  </w:t>
      </w:r>
      <w:r>
        <w:rPr>
          <w:rFonts w:hint="eastAsia"/>
        </w:rPr>
        <w:t>《工作保护法》的条款规定了雇员安全和健康保护的最低条件</w:t>
      </w:r>
      <w:r>
        <w:rPr>
          <w:rFonts w:hint="eastAsia"/>
        </w:rPr>
        <w:t>(</w:t>
      </w:r>
      <w:r>
        <w:rPr>
          <w:rFonts w:hint="eastAsia"/>
        </w:rPr>
        <w:t>政府公报，第</w:t>
      </w:r>
      <w:r>
        <w:rPr>
          <w:rFonts w:hint="eastAsia"/>
        </w:rPr>
        <w:t>19/83</w:t>
      </w:r>
      <w:r>
        <w:rPr>
          <w:rFonts w:hint="eastAsia"/>
        </w:rPr>
        <w:t>。</w:t>
      </w:r>
      <w:r>
        <w:rPr>
          <w:rFonts w:hint="eastAsia"/>
        </w:rPr>
        <w:t>17/86</w:t>
      </w:r>
      <w:r>
        <w:rPr>
          <w:rFonts w:hint="eastAsia"/>
        </w:rPr>
        <w:t>、</w:t>
      </w:r>
      <w:r>
        <w:rPr>
          <w:rFonts w:hint="eastAsia"/>
        </w:rPr>
        <w:t>46/92</w:t>
      </w:r>
      <w:r>
        <w:rPr>
          <w:rFonts w:hint="eastAsia"/>
        </w:rPr>
        <w:t>和</w:t>
      </w:r>
      <w:r>
        <w:rPr>
          <w:rFonts w:hint="eastAsia"/>
        </w:rPr>
        <w:t>26/93</w:t>
      </w:r>
      <w:r>
        <w:rPr>
          <w:rFonts w:hint="eastAsia"/>
        </w:rPr>
        <w:t>号</w:t>
      </w:r>
      <w:r>
        <w:rPr>
          <w:rFonts w:hint="eastAsia"/>
        </w:rPr>
        <w:t>)</w:t>
      </w:r>
      <w:r>
        <w:rPr>
          <w:rFonts w:hint="eastAsia"/>
        </w:rPr>
        <w:t>，在根据该法通过的详细条例中也有规定。</w:t>
      </w:r>
      <w:r>
        <w:rPr>
          <w:rFonts w:hint="eastAsia"/>
        </w:rPr>
        <w:t>1997</w:t>
      </w:r>
      <w:r>
        <w:rPr>
          <w:rFonts w:hint="eastAsia"/>
        </w:rPr>
        <w:t>年</w:t>
      </w:r>
      <w:r>
        <w:rPr>
          <w:rFonts w:hint="eastAsia"/>
        </w:rPr>
        <w:t>1</w:t>
      </w:r>
      <w:r>
        <w:rPr>
          <w:rFonts w:hint="eastAsia"/>
        </w:rPr>
        <w:t>月</w:t>
      </w:r>
      <w:r>
        <w:rPr>
          <w:rFonts w:hint="eastAsia"/>
        </w:rPr>
        <w:t>1</w:t>
      </w:r>
      <w:r>
        <w:rPr>
          <w:rFonts w:hint="eastAsia"/>
        </w:rPr>
        <w:t>日开始实施新的《工作保护法》</w:t>
      </w:r>
      <w:r>
        <w:rPr>
          <w:rFonts w:hint="eastAsia"/>
        </w:rPr>
        <w:t>(</w:t>
      </w:r>
      <w:r>
        <w:rPr>
          <w:rFonts w:hint="eastAsia"/>
        </w:rPr>
        <w:t>政府公报，第</w:t>
      </w:r>
      <w:r>
        <w:rPr>
          <w:rFonts w:hint="eastAsia"/>
        </w:rPr>
        <w:t>59/96</w:t>
      </w:r>
      <w:r>
        <w:rPr>
          <w:rFonts w:hint="eastAsia"/>
        </w:rPr>
        <w:t>号</w:t>
      </w:r>
      <w:r>
        <w:rPr>
          <w:rFonts w:hint="eastAsia"/>
        </w:rPr>
        <w:t>)</w:t>
      </w:r>
      <w:r>
        <w:rPr>
          <w:rFonts w:hint="eastAsia"/>
        </w:rPr>
        <w:t>，该法符合国际劳工组织第</w:t>
      </w:r>
      <w:r>
        <w:rPr>
          <w:rFonts w:hint="eastAsia"/>
        </w:rPr>
        <w:t>155</w:t>
      </w:r>
      <w:r>
        <w:rPr>
          <w:rFonts w:hint="eastAsia"/>
        </w:rPr>
        <w:t>号公约和欧洲共同体第</w:t>
      </w:r>
      <w:r>
        <w:rPr>
          <w:rFonts w:hint="eastAsia"/>
        </w:rPr>
        <w:t>89/391</w:t>
      </w:r>
      <w:r>
        <w:rPr>
          <w:rFonts w:hint="eastAsia"/>
        </w:rPr>
        <w:t>号准则的规定。劳动监察局各机构对采矿业除外的所有工作领域的条例执行情况进行监督，采矿业由矿业监察局进行监督。《工作保护法》的规定不适用于武装部队、警察或家庭佣人。</w:t>
      </w:r>
    </w:p>
    <w:p w:rsidR="00000000" w:rsidRDefault="00000000">
      <w:pPr>
        <w:rPr>
          <w:rFonts w:hint="eastAsia"/>
        </w:rPr>
      </w:pPr>
      <w:r>
        <w:rPr>
          <w:rFonts w:hint="eastAsia"/>
        </w:rPr>
        <w:tab/>
        <w:t xml:space="preserve">120.  </w:t>
      </w:r>
      <w:r>
        <w:rPr>
          <w:rFonts w:hint="eastAsia"/>
        </w:rPr>
        <w:t>《劳工法》和《工作保护法》规定了对工作中妇女的特别保护。立法条例由于尊重妇女的生理特性和生殖功能并且在有些情况下通过保护给予她特权地位，实际上使妇女因天生与男人不同而不可能成为被歧视的对象。</w:t>
      </w:r>
    </w:p>
    <w:p w:rsidR="00000000" w:rsidRDefault="00000000">
      <w:pPr>
        <w:rPr>
          <w:rFonts w:hint="eastAsia"/>
        </w:rPr>
      </w:pPr>
      <w:r>
        <w:rPr>
          <w:rFonts w:hint="eastAsia"/>
        </w:rPr>
        <w:tab/>
        <w:t xml:space="preserve">121.  </w:t>
      </w:r>
      <w:r>
        <w:rPr>
          <w:rFonts w:hint="eastAsia"/>
        </w:rPr>
        <w:t>《劳工法》界定了妇女不能做的工作。妇女不得从事特别消耗体力的工作、地下或水下工作以及由于她的心理和生理特点而会使她的生命和健康受到特别威胁的其他工作。负责劳工问题的部长在负责保健问题的部长同意下，界定这些工作中哪些应列入规章。禁止在地下工作不适用于做管理工作、福利和保健工作的妇女或者在她们求学、受训或职业培训期间必须有一段时间在矿井的地下部分渡过的学生和受训者，也不适用于必须进入矿井的地下部分做非体力性工作的妇女。</w:t>
      </w:r>
    </w:p>
    <w:p w:rsidR="00000000" w:rsidRDefault="00000000">
      <w:pPr>
        <w:rPr>
          <w:rFonts w:hint="eastAsia"/>
        </w:rPr>
      </w:pPr>
      <w:r>
        <w:rPr>
          <w:rFonts w:hint="eastAsia"/>
        </w:rPr>
        <w:tab/>
        <w:t xml:space="preserve">122.  </w:t>
      </w:r>
      <w:r>
        <w:rPr>
          <w:rFonts w:hint="eastAsia"/>
        </w:rPr>
        <w:t>《劳工法》禁止妇女夜间在工厂工作，在发生严重危险时为了保护国家利益的例外情况除外，负责劳工问题的部长批准了这种工作。劳工法在同一条中还规定，这项禁止不适用于仅雇用自己家庭成员的雇主、负责管理和技术事务的妇女、通常不做体力工作的从事保健和福利工作的妇女。</w:t>
      </w:r>
    </w:p>
    <w:p w:rsidR="00000000" w:rsidRDefault="00000000">
      <w:pPr>
        <w:rPr>
          <w:rFonts w:hint="eastAsia"/>
        </w:rPr>
      </w:pPr>
      <w:r>
        <w:rPr>
          <w:rFonts w:hint="eastAsia"/>
        </w:rPr>
        <w:tab/>
        <w:t xml:space="preserve">123.  </w:t>
      </w:r>
      <w:r>
        <w:rPr>
          <w:rFonts w:hint="eastAsia"/>
        </w:rPr>
        <w:t>负责劳工问题的部长在同意夜间工作时必须征求工会和雇主协会的意见。不过，在非常情况下可以命令妇女在夜间工作而不须事先得到劳动和福利部长的批准，如果因为不可抗力或为了防止原材料变坏这种工作是绝对必要的，在这种情况下，必须在</w:t>
      </w:r>
      <w:r>
        <w:rPr>
          <w:rFonts w:hint="eastAsia"/>
        </w:rPr>
        <w:t>24</w:t>
      </w:r>
      <w:r>
        <w:rPr>
          <w:rFonts w:hint="eastAsia"/>
        </w:rPr>
        <w:t>小时内通知劳动监察局。劳动监察员如果认为夜间工作不是绝对必要的，并认为不存在不可抗力或原材料变坏的危险，可禁止夜间工作。</w:t>
      </w:r>
    </w:p>
    <w:p w:rsidR="00000000" w:rsidRDefault="00000000">
      <w:pPr>
        <w:rPr>
          <w:rFonts w:hint="eastAsia"/>
        </w:rPr>
      </w:pPr>
      <w:r>
        <w:rPr>
          <w:rFonts w:hint="eastAsia"/>
        </w:rPr>
        <w:tab/>
        <w:t xml:space="preserve">124.  </w:t>
      </w:r>
      <w:r>
        <w:rPr>
          <w:rFonts w:hint="eastAsia"/>
        </w:rPr>
        <w:t>为了更有效地利用生产设施、增加就业或类似的重要经济或社会原因的需要，负责劳工问题的部长可以决定夜间工作是指在晚上</w:t>
      </w:r>
      <w:r>
        <w:rPr>
          <w:rFonts w:hint="eastAsia"/>
        </w:rPr>
        <w:t>10</w:t>
      </w:r>
      <w:r>
        <w:rPr>
          <w:rFonts w:hint="eastAsia"/>
        </w:rPr>
        <w:t>时至第二天早上</w:t>
      </w:r>
      <w:r>
        <w:rPr>
          <w:rFonts w:hint="eastAsia"/>
        </w:rPr>
        <w:t>6</w:t>
      </w:r>
      <w:r>
        <w:rPr>
          <w:rFonts w:hint="eastAsia"/>
        </w:rPr>
        <w:t>时之间以外的时间、农业则在晚上</w:t>
      </w:r>
      <w:r>
        <w:rPr>
          <w:rFonts w:hint="eastAsia"/>
        </w:rPr>
        <w:t>10</w:t>
      </w:r>
      <w:r>
        <w:rPr>
          <w:rFonts w:hint="eastAsia"/>
        </w:rPr>
        <w:t>时至第二天早上</w:t>
      </w:r>
      <w:r>
        <w:rPr>
          <w:rFonts w:hint="eastAsia"/>
        </w:rPr>
        <w:t>5</w:t>
      </w:r>
      <w:r>
        <w:rPr>
          <w:rFonts w:hint="eastAsia"/>
        </w:rPr>
        <w:t>时之间以外的时间工作，或者不禁止妇女夜间工作：</w:t>
      </w:r>
    </w:p>
    <w:p w:rsidR="00000000" w:rsidRDefault="00000000">
      <w:pPr>
        <w:numPr>
          <w:ilvl w:val="0"/>
          <w:numId w:val="32"/>
        </w:numPr>
        <w:rPr>
          <w:rFonts w:hint="eastAsia"/>
        </w:rPr>
      </w:pPr>
      <w:r>
        <w:rPr>
          <w:rFonts w:hint="eastAsia"/>
        </w:rPr>
        <w:t>某些产业部门或行业或某一特定工作，条件是雇主协会和工会对此达成了协议或表示同意；</w:t>
      </w:r>
    </w:p>
    <w:p w:rsidR="00000000" w:rsidRDefault="00000000">
      <w:pPr>
        <w:numPr>
          <w:ilvl w:val="0"/>
          <w:numId w:val="32"/>
        </w:numPr>
        <w:rPr>
          <w:rFonts w:hint="eastAsia"/>
        </w:rPr>
      </w:pPr>
      <w:r>
        <w:rPr>
          <w:rFonts w:hint="eastAsia"/>
        </w:rPr>
        <w:t>未参与这项决定的一个或多个雇主，条件是雇主和雇员理事会对此达成了协议，并且征求了有关产业部门或行业或特定工作的雇主协会和工会的意见；</w:t>
      </w:r>
    </w:p>
    <w:p w:rsidR="00000000" w:rsidRDefault="00000000">
      <w:pPr>
        <w:numPr>
          <w:ilvl w:val="0"/>
          <w:numId w:val="32"/>
        </w:numPr>
        <w:rPr>
          <w:rFonts w:hint="eastAsia"/>
        </w:rPr>
      </w:pPr>
      <w:r>
        <w:rPr>
          <w:rFonts w:hint="eastAsia"/>
        </w:rPr>
        <w:t>关于夜间工作的决定未包括的或雇主和雇员理事会之间未达成协议的雇主，条件是：</w:t>
      </w:r>
    </w:p>
    <w:p w:rsidR="00000000" w:rsidRDefault="00000000">
      <w:pPr>
        <w:pStyle w:val="a"/>
        <w:numPr>
          <w:ilvl w:val="0"/>
          <w:numId w:val="33"/>
        </w:numPr>
        <w:ind w:left="1990"/>
        <w:rPr>
          <w:rFonts w:hint="eastAsia"/>
        </w:rPr>
      </w:pPr>
      <w:r>
        <w:rPr>
          <w:rFonts w:hint="eastAsia"/>
        </w:rPr>
        <w:t>征求了雇员理事会的意见以及有关产业部门或行业或特定工作的雇主协会和工会的意见；</w:t>
      </w:r>
    </w:p>
    <w:p w:rsidR="00000000" w:rsidRDefault="00000000">
      <w:pPr>
        <w:pStyle w:val="a"/>
        <w:numPr>
          <w:ilvl w:val="0"/>
          <w:numId w:val="33"/>
        </w:numPr>
        <w:ind w:left="1990"/>
        <w:rPr>
          <w:rFonts w:hint="eastAsia"/>
        </w:rPr>
      </w:pPr>
      <w:r>
        <w:rPr>
          <w:rFonts w:hint="eastAsia"/>
        </w:rPr>
        <w:t>负责劳工问题的部长确信为受雇妇女工作时的安全和保护、社会福利服务和机会平等采取的措施是适宜的；</w:t>
      </w:r>
    </w:p>
    <w:p w:rsidR="00000000" w:rsidRDefault="00000000">
      <w:pPr>
        <w:pStyle w:val="a"/>
        <w:numPr>
          <w:ilvl w:val="0"/>
          <w:numId w:val="33"/>
        </w:numPr>
        <w:ind w:left="1990"/>
        <w:rPr>
          <w:rFonts w:hint="eastAsia"/>
        </w:rPr>
      </w:pPr>
      <w:r>
        <w:rPr>
          <w:rFonts w:hint="eastAsia"/>
        </w:rPr>
        <w:t>决定在某一限定期间内有效，但有效期可以按照作出决定的程序和条件予以延长。</w:t>
      </w:r>
    </w:p>
    <w:p w:rsidR="00000000" w:rsidRDefault="00000000">
      <w:pPr>
        <w:rPr>
          <w:rFonts w:hint="eastAsia"/>
        </w:rPr>
      </w:pPr>
      <w:r>
        <w:rPr>
          <w:rFonts w:hint="eastAsia"/>
        </w:rPr>
        <w:tab/>
        <w:t xml:space="preserve">125.  </w:t>
      </w:r>
      <w:r>
        <w:rPr>
          <w:rFonts w:hint="eastAsia"/>
        </w:rPr>
        <w:t>怀孕妇女和孩子未满两岁的母亲以及孩子未满三岁的单身母亲不得被排除于禁止夜间工作之外，除非本人要求被排除。</w:t>
      </w:r>
    </w:p>
    <w:p w:rsidR="00000000" w:rsidRDefault="00000000">
      <w:pPr>
        <w:rPr>
          <w:rFonts w:hint="eastAsia"/>
        </w:rPr>
      </w:pPr>
      <w:r>
        <w:rPr>
          <w:rFonts w:hint="eastAsia"/>
        </w:rPr>
        <w:tab/>
        <w:t xml:space="preserve">126.  </w:t>
      </w:r>
      <w:r>
        <w:rPr>
          <w:rFonts w:hint="eastAsia"/>
        </w:rPr>
        <w:t>《工作保护法》将工作条件特殊的职业界定为只能由除了符合被雇用的一般条件外还符合年龄、性别、技术资格、健康、身体或心理能力方面的特别条件的雇员承担的职业。负责劳工和社会福利问题的部长与卫生部长一起规定了工作条件特殊的职业是哪些职业，并规定了检验雇员工作能力的方式、内容和时期。关于海员和捕鱼人，有特别法律和细则规定对其健康和工作能力状况进行检查。</w:t>
      </w:r>
    </w:p>
    <w:p w:rsidR="00000000" w:rsidRDefault="00000000">
      <w:pPr>
        <w:rPr>
          <w:rFonts w:hint="eastAsia"/>
        </w:rPr>
      </w:pPr>
      <w:r>
        <w:rPr>
          <w:rFonts w:hint="eastAsia"/>
        </w:rPr>
        <w:tab/>
        <w:t xml:space="preserve">127.  </w:t>
      </w:r>
      <w:r>
        <w:rPr>
          <w:rFonts w:hint="eastAsia"/>
        </w:rPr>
        <w:t>宪法第</w:t>
      </w:r>
      <w:r>
        <w:rPr>
          <w:rFonts w:hint="eastAsia"/>
        </w:rPr>
        <w:t>55</w:t>
      </w:r>
      <w:r>
        <w:rPr>
          <w:rFonts w:hint="eastAsia"/>
        </w:rPr>
        <w:t>条规定雇员享有每周有休息时间和每年有带薪假期的权利，并且不得放弃这些权利。《劳工法》据此规定了以下休息权利：</w:t>
      </w:r>
    </w:p>
    <w:p w:rsidR="00000000" w:rsidRDefault="00000000">
      <w:pPr>
        <w:rPr>
          <w:rFonts w:hint="eastAsia"/>
        </w:rPr>
      </w:pPr>
      <w:r>
        <w:rPr>
          <w:rFonts w:hint="eastAsia"/>
        </w:rPr>
        <w:tab/>
      </w:r>
      <w:r>
        <w:rPr>
          <w:rFonts w:hint="eastAsia"/>
        </w:rPr>
        <w:tab/>
      </w:r>
      <w:r>
        <w:rPr>
          <w:rFonts w:hint="eastAsia"/>
        </w:rPr>
        <w:t>日间</w:t>
      </w:r>
      <w:r>
        <w:rPr>
          <w:rFonts w:hint="eastAsia"/>
        </w:rPr>
        <w:t>(</w:t>
      </w:r>
      <w:r>
        <w:rPr>
          <w:rFonts w:hint="eastAsia"/>
        </w:rPr>
        <w:t>暂停工作</w:t>
      </w:r>
      <w:r>
        <w:rPr>
          <w:rFonts w:hint="eastAsia"/>
        </w:rPr>
        <w:t>)</w:t>
      </w:r>
    </w:p>
    <w:p w:rsidR="00000000" w:rsidRDefault="00000000">
      <w:pPr>
        <w:rPr>
          <w:rFonts w:hint="eastAsia"/>
        </w:rPr>
      </w:pPr>
      <w:r>
        <w:rPr>
          <w:rFonts w:hint="eastAsia"/>
        </w:rPr>
        <w:tab/>
      </w:r>
      <w:r>
        <w:rPr>
          <w:rFonts w:hint="eastAsia"/>
        </w:rPr>
        <w:tab/>
      </w:r>
      <w:r>
        <w:rPr>
          <w:rFonts w:hint="eastAsia"/>
        </w:rPr>
        <w:t>连续两个工作日之间</w:t>
      </w:r>
      <w:r>
        <w:rPr>
          <w:rFonts w:hint="eastAsia"/>
        </w:rPr>
        <w:t>(</w:t>
      </w:r>
      <w:r>
        <w:rPr>
          <w:rFonts w:hint="eastAsia"/>
        </w:rPr>
        <w:t>每日休息</w:t>
      </w:r>
      <w:r>
        <w:rPr>
          <w:rFonts w:hint="eastAsia"/>
        </w:rPr>
        <w:t>)</w:t>
      </w:r>
    </w:p>
    <w:p w:rsidR="00000000" w:rsidRDefault="00000000">
      <w:pPr>
        <w:rPr>
          <w:rFonts w:hint="eastAsia"/>
        </w:rPr>
      </w:pPr>
      <w:r>
        <w:rPr>
          <w:rFonts w:hint="eastAsia"/>
        </w:rPr>
        <w:tab/>
      </w:r>
      <w:r>
        <w:rPr>
          <w:rFonts w:hint="eastAsia"/>
        </w:rPr>
        <w:tab/>
      </w:r>
      <w:r>
        <w:rPr>
          <w:rFonts w:hint="eastAsia"/>
        </w:rPr>
        <w:t>两个工作周之间</w:t>
      </w:r>
      <w:r>
        <w:rPr>
          <w:rFonts w:hint="eastAsia"/>
        </w:rPr>
        <w:t>(</w:t>
      </w:r>
      <w:r>
        <w:rPr>
          <w:rFonts w:hint="eastAsia"/>
        </w:rPr>
        <w:t>每周休息</w:t>
      </w:r>
      <w:r>
        <w:rPr>
          <w:rFonts w:hint="eastAsia"/>
        </w:rPr>
        <w:t>)</w:t>
      </w:r>
    </w:p>
    <w:p w:rsidR="00000000" w:rsidRDefault="00000000">
      <w:pPr>
        <w:rPr>
          <w:rFonts w:hint="eastAsia"/>
        </w:rPr>
      </w:pPr>
      <w:r>
        <w:rPr>
          <w:rFonts w:hint="eastAsia"/>
        </w:rPr>
        <w:tab/>
      </w:r>
      <w:r>
        <w:rPr>
          <w:rFonts w:hint="eastAsia"/>
        </w:rPr>
        <w:tab/>
      </w:r>
      <w:r>
        <w:rPr>
          <w:rFonts w:hint="eastAsia"/>
        </w:rPr>
        <w:t>每个日历年内</w:t>
      </w:r>
      <w:r>
        <w:rPr>
          <w:rFonts w:hint="eastAsia"/>
        </w:rPr>
        <w:t>(</w:t>
      </w:r>
      <w:r>
        <w:rPr>
          <w:rFonts w:hint="eastAsia"/>
        </w:rPr>
        <w:t>每年假期</w:t>
      </w:r>
      <w:r>
        <w:rPr>
          <w:rFonts w:hint="eastAsia"/>
        </w:rPr>
        <w:t>)</w:t>
      </w:r>
      <w:r>
        <w:rPr>
          <w:rFonts w:hint="eastAsia"/>
        </w:rPr>
        <w:t>。</w:t>
      </w:r>
    </w:p>
    <w:p w:rsidR="00000000" w:rsidRDefault="00000000">
      <w:pPr>
        <w:rPr>
          <w:rFonts w:hint="eastAsia"/>
        </w:rPr>
      </w:pPr>
      <w:r>
        <w:rPr>
          <w:rFonts w:hint="eastAsia"/>
        </w:rPr>
        <w:tab/>
        <w:t xml:space="preserve">128.  </w:t>
      </w:r>
      <w:r>
        <w:rPr>
          <w:rFonts w:hint="eastAsia"/>
        </w:rPr>
        <w:t>全时工作的雇员有权在每个工作天内休息</w:t>
      </w:r>
      <w:r>
        <w:rPr>
          <w:rFonts w:hint="eastAsia"/>
        </w:rPr>
        <w:t>30</w:t>
      </w:r>
      <w:r>
        <w:rPr>
          <w:rFonts w:hint="eastAsia"/>
        </w:rPr>
        <w:t>分钟。这一休息时间算在工作时间内。如果工作的特殊性质不允许作这种休息打断工作，集体协议、雇员理事会和雇主之间的协议、工作条例或雇用合同将为这种休息作出安排。例如，克罗地亚共和国国家官员和职员</w:t>
      </w:r>
      <w:r>
        <w:rPr>
          <w:rFonts w:hint="eastAsia"/>
        </w:rPr>
        <w:t>(</w:t>
      </w:r>
      <w:r>
        <w:rPr>
          <w:rFonts w:hint="eastAsia"/>
        </w:rPr>
        <w:t>高级和其他公务员</w:t>
      </w:r>
      <w:r>
        <w:rPr>
          <w:rFonts w:hint="eastAsia"/>
        </w:rPr>
        <w:t>)</w:t>
      </w:r>
      <w:r>
        <w:rPr>
          <w:rFonts w:hint="eastAsia"/>
        </w:rPr>
        <w:t>的集体协议规定这一休息时间不能定在开始工作之后的头三个小时内，也不能定在结束工作之前的最后两个小时内。其他集体协议也载有关于每日休息时间的类似规定。</w:t>
      </w:r>
    </w:p>
    <w:p w:rsidR="00000000" w:rsidRDefault="00000000">
      <w:pPr>
        <w:rPr>
          <w:rFonts w:hint="eastAsia"/>
        </w:rPr>
      </w:pPr>
      <w:r>
        <w:rPr>
          <w:rFonts w:hint="eastAsia"/>
        </w:rPr>
        <w:tab/>
        <w:t xml:space="preserve">129.  </w:t>
      </w:r>
      <w:r>
        <w:rPr>
          <w:rFonts w:hint="eastAsia"/>
        </w:rPr>
        <w:t>依照法规，雇员有权在连续两个工作日之间至少不间断地休息</w:t>
      </w:r>
      <w:r>
        <w:rPr>
          <w:rFonts w:hint="eastAsia"/>
        </w:rPr>
        <w:t>12</w:t>
      </w:r>
      <w:r>
        <w:rPr>
          <w:rFonts w:hint="eastAsia"/>
        </w:rPr>
        <w:t>小时。例外情况是，在产业做季节性工作的成年雇员有权在连续两个工作日之间至少不间断地休息</w:t>
      </w:r>
      <w:r>
        <w:rPr>
          <w:rFonts w:hint="eastAsia"/>
        </w:rPr>
        <w:t>10</w:t>
      </w:r>
      <w:r>
        <w:rPr>
          <w:rFonts w:hint="eastAsia"/>
        </w:rPr>
        <w:t>小时，但在一个日历年内最多只能休息</w:t>
      </w:r>
      <w:r>
        <w:rPr>
          <w:rFonts w:hint="eastAsia"/>
        </w:rPr>
        <w:t>60</w:t>
      </w:r>
      <w:r>
        <w:rPr>
          <w:rFonts w:hint="eastAsia"/>
        </w:rPr>
        <w:t>天。同样地，在农业、商业和其他非产业性行业做季节性工作的成年雇员有权在连续两个工作日之间至少不间断地休息</w:t>
      </w:r>
      <w:r>
        <w:rPr>
          <w:rFonts w:hint="eastAsia"/>
        </w:rPr>
        <w:t>10</w:t>
      </w:r>
      <w:r>
        <w:rPr>
          <w:rFonts w:hint="eastAsia"/>
        </w:rPr>
        <w:t>小时。</w:t>
      </w:r>
    </w:p>
    <w:p w:rsidR="00000000" w:rsidRDefault="00000000">
      <w:pPr>
        <w:rPr>
          <w:rFonts w:hint="eastAsia"/>
        </w:rPr>
      </w:pPr>
      <w:r>
        <w:rPr>
          <w:rFonts w:hint="eastAsia"/>
        </w:rPr>
        <w:tab/>
        <w:t xml:space="preserve">130.  </w:t>
      </w:r>
      <w:r>
        <w:rPr>
          <w:rFonts w:hint="eastAsia"/>
        </w:rPr>
        <w:t>依照法规，雇员有权每周至少不间断地休息</w:t>
      </w:r>
      <w:r>
        <w:rPr>
          <w:rFonts w:hint="eastAsia"/>
        </w:rPr>
        <w:t>24</w:t>
      </w:r>
      <w:r>
        <w:rPr>
          <w:rFonts w:hint="eastAsia"/>
        </w:rPr>
        <w:t>小时，如果在集体协议、雇员理事会和雇主之间的协议或雇用合同确定的期间内，绝对有必要在星期日工作，那么在该星期内必须有一天休息。</w:t>
      </w:r>
    </w:p>
    <w:p w:rsidR="00000000" w:rsidRDefault="00000000">
      <w:pPr>
        <w:rPr>
          <w:rFonts w:hint="eastAsia"/>
        </w:rPr>
      </w:pPr>
      <w:r>
        <w:rPr>
          <w:rFonts w:hint="eastAsia"/>
        </w:rPr>
        <w:tab/>
        <w:t xml:space="preserve">131.  </w:t>
      </w:r>
      <w:r>
        <w:rPr>
          <w:rFonts w:hint="eastAsia"/>
        </w:rPr>
        <w:t>雇员有权在一个日历年内带薪休假至少</w:t>
      </w:r>
      <w:r>
        <w:rPr>
          <w:rFonts w:hint="eastAsia"/>
        </w:rPr>
        <w:t>18</w:t>
      </w:r>
      <w:r>
        <w:rPr>
          <w:rFonts w:hint="eastAsia"/>
        </w:rPr>
        <w:t>个工作日，未成年雇员有权在一个日历年内带薪休假至少</w:t>
      </w:r>
      <w:r>
        <w:rPr>
          <w:rFonts w:hint="eastAsia"/>
        </w:rPr>
        <w:t>24</w:t>
      </w:r>
      <w:r>
        <w:rPr>
          <w:rFonts w:hint="eastAsia"/>
        </w:rPr>
        <w:t>个工作日。如果雇员所做的工作尽管采取了一切保护措施仍然无法使他免受有害的影响，有权在一个日历年内带薪休假至少</w:t>
      </w:r>
      <w:r>
        <w:rPr>
          <w:rFonts w:hint="eastAsia"/>
        </w:rPr>
        <w:t>30</w:t>
      </w:r>
      <w:r>
        <w:rPr>
          <w:rFonts w:hint="eastAsia"/>
        </w:rPr>
        <w:t>个工作日。</w:t>
      </w:r>
    </w:p>
    <w:p w:rsidR="00000000" w:rsidRDefault="00000000">
      <w:pPr>
        <w:rPr>
          <w:rFonts w:hint="eastAsia"/>
        </w:rPr>
      </w:pPr>
      <w:r>
        <w:rPr>
          <w:rFonts w:hint="eastAsia"/>
        </w:rPr>
        <w:tab/>
        <w:t xml:space="preserve">132.  </w:t>
      </w:r>
      <w:r>
        <w:rPr>
          <w:rFonts w:hint="eastAsia"/>
        </w:rPr>
        <w:t>比规定的最短时间长的每年休假时间可在集体协议、工作条例或雇用合同中确定。公共假日和法律规定的非工作日不算在年假内，有合格医生证明的暂时不能工作时间也不算在内。</w:t>
      </w:r>
    </w:p>
    <w:p w:rsidR="00000000" w:rsidRDefault="00000000">
      <w:pPr>
        <w:rPr>
          <w:rFonts w:hint="eastAsia"/>
        </w:rPr>
      </w:pPr>
      <w:r>
        <w:rPr>
          <w:rFonts w:hint="eastAsia"/>
        </w:rPr>
        <w:tab/>
        <w:t xml:space="preserve">133.  </w:t>
      </w:r>
      <w:r>
        <w:rPr>
          <w:rFonts w:hint="eastAsia"/>
        </w:rPr>
        <w:t>第一次被雇用或在两个雇用期之间暂停工作超过</w:t>
      </w:r>
      <w:r>
        <w:rPr>
          <w:rFonts w:hint="eastAsia"/>
        </w:rPr>
        <w:t>8</w:t>
      </w:r>
      <w:r>
        <w:rPr>
          <w:rFonts w:hint="eastAsia"/>
        </w:rPr>
        <w:t>天的雇员，在不间断工作</w:t>
      </w:r>
      <w:r>
        <w:rPr>
          <w:rFonts w:hint="eastAsia"/>
        </w:rPr>
        <w:t>6</w:t>
      </w:r>
      <w:r>
        <w:rPr>
          <w:rFonts w:hint="eastAsia"/>
        </w:rPr>
        <w:t>个月后即有权享受年假。由于暂时不能工作、服兵役或其他有法律根据的理由而中断工作的时间算在取得年假权利的</w:t>
      </w:r>
      <w:r>
        <w:rPr>
          <w:rFonts w:hint="eastAsia"/>
        </w:rPr>
        <w:t>6</w:t>
      </w:r>
      <w:r>
        <w:rPr>
          <w:rFonts w:hint="eastAsia"/>
        </w:rPr>
        <w:t>个月期间内。</w:t>
      </w:r>
    </w:p>
    <w:p w:rsidR="00000000" w:rsidRDefault="00000000">
      <w:pPr>
        <w:rPr>
          <w:rFonts w:hint="eastAsia"/>
        </w:rPr>
      </w:pPr>
      <w:r>
        <w:rPr>
          <w:rFonts w:hint="eastAsia"/>
        </w:rPr>
        <w:tab/>
        <w:t xml:space="preserve">134.  </w:t>
      </w:r>
      <w:r>
        <w:rPr>
          <w:rFonts w:hint="eastAsia"/>
        </w:rPr>
        <w:t>法律规定有权按比例享受部分年假。因此在下列情况下雇员每完成</w:t>
      </w:r>
      <w:r>
        <w:rPr>
          <w:rFonts w:hint="eastAsia"/>
        </w:rPr>
        <w:t>1</w:t>
      </w:r>
      <w:r>
        <w:rPr>
          <w:rFonts w:hint="eastAsia"/>
        </w:rPr>
        <w:t>个月的工作有权享受十二分之一的年假：</w:t>
      </w:r>
    </w:p>
    <w:p w:rsidR="00000000" w:rsidRDefault="00000000">
      <w:pPr>
        <w:numPr>
          <w:ilvl w:val="0"/>
          <w:numId w:val="34"/>
        </w:numPr>
        <w:rPr>
          <w:rFonts w:hint="eastAsia"/>
        </w:rPr>
      </w:pPr>
      <w:r>
        <w:rPr>
          <w:rFonts w:hint="eastAsia"/>
        </w:rPr>
        <w:t>在他开始工作的日历年内，由于未做满</w:t>
      </w:r>
      <w:r>
        <w:rPr>
          <w:rFonts w:hint="eastAsia"/>
        </w:rPr>
        <w:t>6</w:t>
      </w:r>
      <w:r>
        <w:rPr>
          <w:rFonts w:hint="eastAsia"/>
        </w:rPr>
        <w:t>个月的等待时间，他没有取得年假的权利；</w:t>
      </w:r>
    </w:p>
    <w:p w:rsidR="00000000" w:rsidRDefault="00000000">
      <w:pPr>
        <w:numPr>
          <w:ilvl w:val="0"/>
          <w:numId w:val="34"/>
        </w:numPr>
        <w:rPr>
          <w:rFonts w:hint="eastAsia"/>
        </w:rPr>
      </w:pPr>
      <w:r>
        <w:rPr>
          <w:rFonts w:hint="eastAsia"/>
        </w:rPr>
        <w:t>在</w:t>
      </w:r>
      <w:r>
        <w:rPr>
          <w:rFonts w:hint="eastAsia"/>
        </w:rPr>
        <w:t>6</w:t>
      </w:r>
      <w:r>
        <w:rPr>
          <w:rFonts w:hint="eastAsia"/>
        </w:rPr>
        <w:t>个月的等待期间结束前停止雇用；</w:t>
      </w:r>
    </w:p>
    <w:p w:rsidR="00000000" w:rsidRDefault="00000000">
      <w:pPr>
        <w:numPr>
          <w:ilvl w:val="0"/>
          <w:numId w:val="34"/>
        </w:numPr>
        <w:rPr>
          <w:rFonts w:hint="eastAsia"/>
        </w:rPr>
      </w:pPr>
      <w:r>
        <w:rPr>
          <w:rFonts w:hint="eastAsia"/>
        </w:rPr>
        <w:t>在</w:t>
      </w:r>
      <w:r>
        <w:rPr>
          <w:rFonts w:hint="eastAsia"/>
        </w:rPr>
        <w:t>7</w:t>
      </w:r>
      <w:r>
        <w:rPr>
          <w:rFonts w:hint="eastAsia"/>
        </w:rPr>
        <w:t>月</w:t>
      </w:r>
      <w:r>
        <w:rPr>
          <w:rFonts w:hint="eastAsia"/>
        </w:rPr>
        <w:t>1</w:t>
      </w:r>
      <w:r>
        <w:rPr>
          <w:rFonts w:hint="eastAsia"/>
        </w:rPr>
        <w:t>日前停止雇用。</w:t>
      </w:r>
    </w:p>
    <w:p w:rsidR="00000000" w:rsidRDefault="00000000">
      <w:pPr>
        <w:rPr>
          <w:rFonts w:hint="eastAsia"/>
        </w:rPr>
      </w:pPr>
      <w:r>
        <w:rPr>
          <w:rFonts w:hint="eastAsia"/>
        </w:rPr>
        <w:t>在这种情况下计算年假时间时，半天年假即四舍五入变成一整天年假。</w:t>
      </w:r>
    </w:p>
    <w:p w:rsidR="00000000" w:rsidRDefault="00000000">
      <w:pPr>
        <w:rPr>
          <w:rFonts w:hint="eastAsia"/>
        </w:rPr>
      </w:pPr>
      <w:r>
        <w:rPr>
          <w:rFonts w:hint="eastAsia"/>
        </w:rPr>
        <w:tab/>
        <w:t xml:space="preserve">135.  </w:t>
      </w:r>
      <w:r>
        <w:rPr>
          <w:rFonts w:hint="eastAsia"/>
        </w:rPr>
        <w:t>雇员有权分两部分使用其年假。如果雇员分两部分使用年假，第一部分至少是不间断的</w:t>
      </w:r>
      <w:r>
        <w:rPr>
          <w:rFonts w:hint="eastAsia"/>
        </w:rPr>
        <w:t>12</w:t>
      </w:r>
      <w:r>
        <w:rPr>
          <w:rFonts w:hint="eastAsia"/>
        </w:rPr>
        <w:t>天，必须在他或她取得年假权利的日历年内用掉，第二部分年假必须最迟在下一年</w:t>
      </w:r>
      <w:r>
        <w:rPr>
          <w:rFonts w:hint="eastAsia"/>
        </w:rPr>
        <w:t>6</w:t>
      </w:r>
      <w:r>
        <w:rPr>
          <w:rFonts w:hint="eastAsia"/>
        </w:rPr>
        <w:t>月</w:t>
      </w:r>
      <w:r>
        <w:rPr>
          <w:rFonts w:hint="eastAsia"/>
        </w:rPr>
        <w:t>30</w:t>
      </w:r>
      <w:r>
        <w:rPr>
          <w:rFonts w:hint="eastAsia"/>
        </w:rPr>
        <w:t>日之前用掉。</w:t>
      </w:r>
    </w:p>
    <w:p w:rsidR="00000000" w:rsidRDefault="00000000">
      <w:pPr>
        <w:rPr>
          <w:rFonts w:hint="eastAsia"/>
        </w:rPr>
      </w:pPr>
      <w:r>
        <w:rPr>
          <w:rFonts w:hint="eastAsia"/>
        </w:rPr>
        <w:tab/>
        <w:t xml:space="preserve">136.  </w:t>
      </w:r>
      <w:r>
        <w:rPr>
          <w:rFonts w:hint="eastAsia"/>
        </w:rPr>
        <w:t>年假或第一部分年假如因病假或产假被中断或未在获得权利的日历年内使用，可在次年</w:t>
      </w:r>
      <w:r>
        <w:rPr>
          <w:rFonts w:hint="eastAsia"/>
        </w:rPr>
        <w:t>6</w:t>
      </w:r>
      <w:r>
        <w:rPr>
          <w:rFonts w:hint="eastAsia"/>
        </w:rPr>
        <w:t>月</w:t>
      </w:r>
      <w:r>
        <w:rPr>
          <w:rFonts w:hint="eastAsia"/>
        </w:rPr>
        <w:t>30</w:t>
      </w:r>
      <w:r>
        <w:rPr>
          <w:rFonts w:hint="eastAsia"/>
        </w:rPr>
        <w:t>日之前使用，但雇员必须在他或她回来工作的前一年内工作了至少</w:t>
      </w:r>
      <w:r>
        <w:rPr>
          <w:rFonts w:hint="eastAsia"/>
        </w:rPr>
        <w:t>6</w:t>
      </w:r>
      <w:r>
        <w:rPr>
          <w:rFonts w:hint="eastAsia"/>
        </w:rPr>
        <w:t>个月。船上工作人员、在国外工作的雇员或在服兵役的雇员可在下一个日历年内使用其全部年假。</w:t>
      </w:r>
    </w:p>
    <w:p w:rsidR="00000000" w:rsidRDefault="00000000">
      <w:pPr>
        <w:rPr>
          <w:rFonts w:hint="eastAsia"/>
        </w:rPr>
      </w:pPr>
      <w:r>
        <w:rPr>
          <w:rFonts w:hint="eastAsia"/>
        </w:rPr>
        <w:tab/>
        <w:t xml:space="preserve">137.  </w:t>
      </w:r>
      <w:r>
        <w:rPr>
          <w:rFonts w:hint="eastAsia"/>
        </w:rPr>
        <w:t>雇主依照集体协议、工作条例、雇用合同和法律决定工人休年假的顺序。</w:t>
      </w:r>
    </w:p>
    <w:p w:rsidR="00000000" w:rsidRDefault="00000000">
      <w:pPr>
        <w:rPr>
          <w:rFonts w:hint="eastAsia"/>
        </w:rPr>
      </w:pPr>
      <w:r>
        <w:rPr>
          <w:rFonts w:hint="eastAsia"/>
        </w:rPr>
        <w:tab/>
        <w:t xml:space="preserve">138.  </w:t>
      </w:r>
      <w:r>
        <w:rPr>
          <w:rFonts w:hint="eastAsia"/>
        </w:rPr>
        <w:t>雇员如已在另一个雇主处使用了本日历年度的全部年假，没有权利享受另外的年假。</w:t>
      </w:r>
    </w:p>
    <w:p w:rsidR="00000000" w:rsidRDefault="00000000">
      <w:pPr>
        <w:rPr>
          <w:rFonts w:hint="eastAsia"/>
        </w:rPr>
      </w:pPr>
      <w:r>
        <w:rPr>
          <w:rFonts w:hint="eastAsia"/>
        </w:rPr>
        <w:tab/>
        <w:t xml:space="preserve">139.  </w:t>
      </w:r>
      <w:r>
        <w:rPr>
          <w:rFonts w:hint="eastAsia"/>
        </w:rPr>
        <w:t>雇用合同终止时，雇主必须发给雇员一份年假使用情况的证书。</w:t>
      </w:r>
    </w:p>
    <w:p w:rsidR="00000000" w:rsidRDefault="00000000">
      <w:pPr>
        <w:rPr>
          <w:rFonts w:hint="eastAsia"/>
        </w:rPr>
      </w:pPr>
      <w:r>
        <w:rPr>
          <w:rFonts w:hint="eastAsia"/>
        </w:rPr>
        <w:tab/>
        <w:t xml:space="preserve">140.  </w:t>
      </w:r>
      <w:r>
        <w:rPr>
          <w:rFonts w:hint="eastAsia"/>
        </w:rPr>
        <w:t>雇员在休年假期间有权得到工资补偿，数额由集体协议、工作条例或雇用合同确定，但至少等于其前三个月的平等月工资</w:t>
      </w:r>
      <w:r>
        <w:rPr>
          <w:rFonts w:hint="eastAsia"/>
        </w:rPr>
        <w:t>(</w:t>
      </w:r>
      <w:r>
        <w:rPr>
          <w:rFonts w:hint="eastAsia"/>
        </w:rPr>
        <w:t>包括任何以实物支付的工资的相应货币价值</w:t>
      </w:r>
      <w:r>
        <w:rPr>
          <w:rFonts w:hint="eastAsia"/>
        </w:rPr>
        <w:t>)</w:t>
      </w:r>
      <w:r>
        <w:rPr>
          <w:rFonts w:hint="eastAsia"/>
        </w:rPr>
        <w:t>。</w:t>
      </w:r>
    </w:p>
    <w:p w:rsidR="00000000" w:rsidRDefault="00000000">
      <w:pPr>
        <w:rPr>
          <w:rFonts w:hint="eastAsia"/>
        </w:rPr>
      </w:pPr>
      <w:r>
        <w:rPr>
          <w:rFonts w:hint="eastAsia"/>
        </w:rPr>
        <w:tab/>
        <w:t xml:space="preserve">141.  </w:t>
      </w:r>
      <w:r>
        <w:rPr>
          <w:rFonts w:hint="eastAsia"/>
        </w:rPr>
        <w:t>工资补偿必须在雇员休年假前预先支付，除非集体协议或雇员理事会与雇主之间的协议另有规定。</w:t>
      </w:r>
    </w:p>
    <w:p w:rsidR="00000000" w:rsidRDefault="00000000">
      <w:pPr>
        <w:rPr>
          <w:rFonts w:hint="eastAsia"/>
        </w:rPr>
      </w:pPr>
      <w:r>
        <w:rPr>
          <w:rFonts w:hint="eastAsia"/>
        </w:rPr>
        <w:tab/>
        <w:t xml:space="preserve">142.  </w:t>
      </w:r>
      <w:r>
        <w:rPr>
          <w:rFonts w:hint="eastAsia"/>
        </w:rPr>
        <w:t>法律规定全时工作时间不得超过每周</w:t>
      </w:r>
      <w:r>
        <w:rPr>
          <w:rFonts w:hint="eastAsia"/>
        </w:rPr>
        <w:t>42</w:t>
      </w:r>
      <w:r>
        <w:rPr>
          <w:rFonts w:hint="eastAsia"/>
        </w:rPr>
        <w:t>小时。对于尽管采取了保护措施仍无法使雇员免受有害影响的职业，工作时间将按工作条件对雇员健康和工作能力的有害影响成比例地缩短。法律规定只有在非常情况下才可以加班。</w:t>
      </w:r>
    </w:p>
    <w:p w:rsidR="00000000" w:rsidRDefault="00000000">
      <w:pPr>
        <w:rPr>
          <w:rFonts w:hint="eastAsia"/>
        </w:rPr>
      </w:pPr>
      <w:r>
        <w:rPr>
          <w:rFonts w:hint="eastAsia"/>
        </w:rPr>
        <w:tab/>
        <w:t xml:space="preserve">143.  </w:t>
      </w:r>
      <w:r>
        <w:rPr>
          <w:rFonts w:hint="eastAsia"/>
        </w:rPr>
        <w:t>发生不可抗力、工作量破例增加和其他绝对必要的情况时，雇员必须应雇主的要求做比全时工作长的时间</w:t>
      </w:r>
      <w:r>
        <w:rPr>
          <w:rFonts w:hint="eastAsia"/>
        </w:rPr>
        <w:t>(</w:t>
      </w:r>
      <w:r>
        <w:rPr>
          <w:rFonts w:hint="eastAsia"/>
        </w:rPr>
        <w:t>加班</w:t>
      </w:r>
      <w:r>
        <w:rPr>
          <w:rFonts w:hint="eastAsia"/>
        </w:rPr>
        <w:t>)</w:t>
      </w:r>
      <w:r>
        <w:rPr>
          <w:rFonts w:hint="eastAsia"/>
        </w:rPr>
        <w:t>，但最多每周</w:t>
      </w:r>
      <w:r>
        <w:rPr>
          <w:rFonts w:hint="eastAsia"/>
        </w:rPr>
        <w:t>10</w:t>
      </w:r>
      <w:r>
        <w:rPr>
          <w:rFonts w:hint="eastAsia"/>
        </w:rPr>
        <w:t>小时。</w:t>
      </w:r>
    </w:p>
    <w:p w:rsidR="00000000" w:rsidRDefault="00000000">
      <w:pPr>
        <w:rPr>
          <w:rFonts w:hint="eastAsia"/>
        </w:rPr>
      </w:pPr>
      <w:r>
        <w:rPr>
          <w:rFonts w:hint="eastAsia"/>
        </w:rPr>
        <w:tab/>
        <w:t xml:space="preserve">144.  </w:t>
      </w:r>
      <w:r>
        <w:rPr>
          <w:rFonts w:hint="eastAsia"/>
        </w:rPr>
        <w:t>如某一雇员加班连续超过</w:t>
      </w:r>
      <w:r>
        <w:rPr>
          <w:rFonts w:hint="eastAsia"/>
        </w:rPr>
        <w:t>4</w:t>
      </w:r>
      <w:r>
        <w:rPr>
          <w:rFonts w:hint="eastAsia"/>
        </w:rPr>
        <w:t>星期或在一个日历年内超过</w:t>
      </w:r>
      <w:r>
        <w:rPr>
          <w:rFonts w:hint="eastAsia"/>
        </w:rPr>
        <w:t>12</w:t>
      </w:r>
      <w:r>
        <w:rPr>
          <w:rFonts w:hint="eastAsia"/>
        </w:rPr>
        <w:t>星期，或者在某一个月内所有雇员的加班时间超过全部工作时间的</w:t>
      </w:r>
      <w:r>
        <w:rPr>
          <w:rFonts w:hint="eastAsia"/>
        </w:rPr>
        <w:t>10%</w:t>
      </w:r>
      <w:r>
        <w:rPr>
          <w:rFonts w:hint="eastAsia"/>
        </w:rPr>
        <w:t>，必须将这种加班情况通知劳动监察员。</w:t>
      </w:r>
    </w:p>
    <w:p w:rsidR="00000000" w:rsidRDefault="00000000">
      <w:pPr>
        <w:rPr>
          <w:rFonts w:hint="eastAsia"/>
        </w:rPr>
      </w:pPr>
      <w:r>
        <w:rPr>
          <w:rFonts w:hint="eastAsia"/>
        </w:rPr>
        <w:tab/>
        <w:t xml:space="preserve">145.  </w:t>
      </w:r>
      <w:r>
        <w:rPr>
          <w:rFonts w:hint="eastAsia"/>
        </w:rPr>
        <w:t>如果加班对雇员的健康和工作能力有有害的影响或者过分使用加班妨碍失业者的就业，劳动监察员将禁止加班。</w:t>
      </w:r>
    </w:p>
    <w:p w:rsidR="00000000" w:rsidRDefault="00000000">
      <w:pPr>
        <w:rPr>
          <w:rFonts w:hint="eastAsia"/>
        </w:rPr>
      </w:pPr>
      <w:r>
        <w:rPr>
          <w:rFonts w:hint="eastAsia"/>
        </w:rPr>
        <w:tab/>
        <w:t xml:space="preserve">146.  </w:t>
      </w:r>
      <w:r>
        <w:rPr>
          <w:rFonts w:hint="eastAsia"/>
        </w:rPr>
        <w:t>禁止未成年人加班。</w:t>
      </w:r>
    </w:p>
    <w:p w:rsidR="00000000" w:rsidRDefault="00000000">
      <w:pPr>
        <w:rPr>
          <w:rFonts w:hint="eastAsia"/>
        </w:rPr>
      </w:pPr>
      <w:r>
        <w:rPr>
          <w:rFonts w:hint="eastAsia"/>
        </w:rPr>
        <w:tab/>
        <w:t xml:space="preserve">147.  </w:t>
      </w:r>
      <w:r>
        <w:rPr>
          <w:rFonts w:hint="eastAsia"/>
        </w:rPr>
        <w:t>怀孕妇女、孩子未满三岁的母亲和孩子未满六岁的单身父母，只有在他或她作了自愿加班的书面声明后才可加班。如果这些人未作出这种书面声明，劳动监察员将禁止他们加班。</w:t>
      </w:r>
    </w:p>
    <w:p w:rsidR="00000000" w:rsidRDefault="00000000">
      <w:pPr>
        <w:spacing w:after="320"/>
        <w:rPr>
          <w:rFonts w:hint="eastAsia"/>
        </w:rPr>
      </w:pPr>
      <w:r>
        <w:rPr>
          <w:rFonts w:hint="eastAsia"/>
        </w:rPr>
        <w:tab/>
        <w:t xml:space="preserve">148.  </w:t>
      </w:r>
      <w:r>
        <w:rPr>
          <w:rFonts w:hint="eastAsia"/>
        </w:rPr>
        <w:t>克罗地亚共和国的假日、纪念日和非工作日，按照法律规定，人们在这些日子不工作或有权不工作，并且所有雇员有权得到工资补偿。如果雇员在这些日子工作，他们有权得到较多的工资。工作条件困难、加班工作或星期日工作的雇员有权得到较多的工资。</w:t>
      </w:r>
    </w:p>
    <w:p w:rsidR="00000000" w:rsidRDefault="00000000">
      <w:pPr>
        <w:pStyle w:val="Heading3"/>
        <w:rPr>
          <w:rFonts w:hint="eastAsia"/>
        </w:rPr>
      </w:pPr>
      <w:r>
        <w:rPr>
          <w:rFonts w:hint="eastAsia"/>
        </w:rPr>
        <w:t>第</w:t>
      </w:r>
      <w:r>
        <w:rPr>
          <w:rFonts w:hint="eastAsia"/>
        </w:rPr>
        <w:t xml:space="preserve"> 8 </w:t>
      </w:r>
      <w:r>
        <w:rPr>
          <w:rFonts w:hint="eastAsia"/>
        </w:rPr>
        <w:t>条</w:t>
      </w:r>
    </w:p>
    <w:p w:rsidR="00000000" w:rsidRDefault="00000000">
      <w:pPr>
        <w:rPr>
          <w:rFonts w:hint="eastAsia"/>
        </w:rPr>
      </w:pPr>
      <w:r>
        <w:rPr>
          <w:rFonts w:hint="eastAsia"/>
        </w:rPr>
        <w:tab/>
        <w:t xml:space="preserve">149.  </w:t>
      </w:r>
      <w:r>
        <w:rPr>
          <w:rFonts w:hint="eastAsia"/>
        </w:rPr>
        <w:t>由于克罗地亚共和国是下列公约的缔约国：《公民权利和政治权利国际公约》以及国际劳工组织的《结社自由和保护组织权利公约，</w:t>
      </w:r>
      <w:r>
        <w:rPr>
          <w:rFonts w:hint="eastAsia"/>
        </w:rPr>
        <w:t>1948</w:t>
      </w:r>
      <w:r>
        <w:rPr>
          <w:rFonts w:hint="eastAsia"/>
        </w:rPr>
        <w:t>年》</w:t>
      </w:r>
      <w:r>
        <w:rPr>
          <w:rFonts w:hint="eastAsia"/>
        </w:rPr>
        <w:t>(</w:t>
      </w:r>
      <w:r>
        <w:rPr>
          <w:rFonts w:hint="eastAsia"/>
        </w:rPr>
        <w:t>第</w:t>
      </w:r>
      <w:r>
        <w:rPr>
          <w:rFonts w:hint="eastAsia"/>
        </w:rPr>
        <w:t>87</w:t>
      </w:r>
      <w:r>
        <w:rPr>
          <w:rFonts w:hint="eastAsia"/>
        </w:rPr>
        <w:t>号</w:t>
      </w:r>
      <w:r>
        <w:rPr>
          <w:rFonts w:hint="eastAsia"/>
        </w:rPr>
        <w:t>)</w:t>
      </w:r>
      <w:r>
        <w:rPr>
          <w:rFonts w:hint="eastAsia"/>
        </w:rPr>
        <w:t>和《组织权利和集体谈判权利公约，</w:t>
      </w:r>
      <w:r>
        <w:rPr>
          <w:rFonts w:hint="eastAsia"/>
        </w:rPr>
        <w:t>1949</w:t>
      </w:r>
      <w:r>
        <w:rPr>
          <w:rFonts w:hint="eastAsia"/>
        </w:rPr>
        <w:t>年》</w:t>
      </w:r>
      <w:r>
        <w:rPr>
          <w:rFonts w:hint="eastAsia"/>
        </w:rPr>
        <w:t>(</w:t>
      </w:r>
      <w:r>
        <w:rPr>
          <w:rFonts w:hint="eastAsia"/>
        </w:rPr>
        <w:t>第</w:t>
      </w:r>
      <w:r>
        <w:rPr>
          <w:rFonts w:hint="eastAsia"/>
        </w:rPr>
        <w:t>98</w:t>
      </w:r>
      <w:r>
        <w:rPr>
          <w:rFonts w:hint="eastAsia"/>
        </w:rPr>
        <w:t>号</w:t>
      </w:r>
      <w:r>
        <w:rPr>
          <w:rFonts w:hint="eastAsia"/>
        </w:rPr>
        <w:t>)</w:t>
      </w:r>
      <w:r>
        <w:rPr>
          <w:rFonts w:hint="eastAsia"/>
        </w:rPr>
        <w:t>，并且向有关机构提交有关这些公约实施情况的报告，我们将参照这些报告中与《公约》这一条所述的权利有关的内容。</w:t>
      </w:r>
    </w:p>
    <w:p w:rsidR="00000000" w:rsidRDefault="00000000">
      <w:pPr>
        <w:rPr>
          <w:rFonts w:hint="eastAsia"/>
        </w:rPr>
      </w:pPr>
      <w:r>
        <w:rPr>
          <w:rFonts w:hint="eastAsia"/>
        </w:rPr>
        <w:tab/>
        <w:t xml:space="preserve">150.  </w:t>
      </w:r>
      <w:r>
        <w:rPr>
          <w:rFonts w:hint="eastAsia"/>
        </w:rPr>
        <w:t>克罗地亚共和国宪法第</w:t>
      </w:r>
      <w:r>
        <w:rPr>
          <w:rFonts w:hint="eastAsia"/>
        </w:rPr>
        <w:t>59</w:t>
      </w:r>
      <w:r>
        <w:rPr>
          <w:rFonts w:hint="eastAsia"/>
        </w:rPr>
        <w:t>条规定，为了保护其经济和社会利益，所有雇员和雇主有权成立工会和雇主协会，并且有权自由地参加或离开这些组织。根据这一宪法规定，《劳工法》第</w:t>
      </w:r>
      <w:r>
        <w:rPr>
          <w:rFonts w:hint="eastAsia"/>
        </w:rPr>
        <w:t>159</w:t>
      </w:r>
      <w:r>
        <w:rPr>
          <w:rFonts w:hint="eastAsia"/>
        </w:rPr>
        <w:t>条规定雇员和雇主有权毫无区别地按照自己的选择成立工会和雇主协会，并根据这些工会或雇主协会的章程或条例规定的条件成为这些组织的成员。工会和雇主协会不须事先得到许可即可成立。”雇员或雇主可自由决定加入或离开一个协会”</w:t>
      </w:r>
      <w:r>
        <w:rPr>
          <w:rFonts w:hint="eastAsia"/>
        </w:rPr>
        <w:t>(</w:t>
      </w:r>
      <w:r>
        <w:rPr>
          <w:rFonts w:hint="eastAsia"/>
        </w:rPr>
        <w:t>劳工法第</w:t>
      </w:r>
      <w:r>
        <w:rPr>
          <w:rFonts w:hint="eastAsia"/>
        </w:rPr>
        <w:t>160</w:t>
      </w:r>
      <w:r>
        <w:rPr>
          <w:rFonts w:hint="eastAsia"/>
        </w:rPr>
        <w:t>条第</w:t>
      </w:r>
      <w:r>
        <w:rPr>
          <w:rFonts w:hint="eastAsia"/>
        </w:rPr>
        <w:t>1</w:t>
      </w:r>
      <w:r>
        <w:rPr>
          <w:rFonts w:hint="eastAsia"/>
        </w:rPr>
        <w:t>款</w:t>
      </w:r>
      <w:r>
        <w:rPr>
          <w:rFonts w:hint="eastAsia"/>
        </w:rPr>
        <w:t>)</w:t>
      </w:r>
      <w:r>
        <w:rPr>
          <w:rFonts w:hint="eastAsia"/>
        </w:rPr>
        <w:t>。“工会可以由至少</w:t>
      </w:r>
      <w:r>
        <w:rPr>
          <w:rFonts w:hint="eastAsia"/>
        </w:rPr>
        <w:t>10</w:t>
      </w:r>
      <w:r>
        <w:rPr>
          <w:rFonts w:hint="eastAsia"/>
        </w:rPr>
        <w:t>个有工作能力的成年自然人成立”，“雇主协会可以由至少</w:t>
      </w:r>
      <w:r>
        <w:rPr>
          <w:rFonts w:hint="eastAsia"/>
        </w:rPr>
        <w:t>10</w:t>
      </w:r>
      <w:r>
        <w:rPr>
          <w:rFonts w:hint="eastAsia"/>
        </w:rPr>
        <w:t>个法人或</w:t>
      </w:r>
      <w:r>
        <w:rPr>
          <w:rFonts w:hint="eastAsia"/>
        </w:rPr>
        <w:t>10</w:t>
      </w:r>
      <w:r>
        <w:rPr>
          <w:rFonts w:hint="eastAsia"/>
        </w:rPr>
        <w:t>个有经营企业能力的成年自然人成立”</w:t>
      </w:r>
      <w:r>
        <w:rPr>
          <w:rFonts w:hint="eastAsia"/>
        </w:rPr>
        <w:t>(</w:t>
      </w:r>
      <w:r>
        <w:rPr>
          <w:rFonts w:hint="eastAsia"/>
        </w:rPr>
        <w:t>劳工法第</w:t>
      </w:r>
      <w:r>
        <w:rPr>
          <w:rFonts w:hint="eastAsia"/>
        </w:rPr>
        <w:t>165</w:t>
      </w:r>
      <w:r>
        <w:rPr>
          <w:rFonts w:hint="eastAsia"/>
        </w:rPr>
        <w:t>条第</w:t>
      </w:r>
      <w:r>
        <w:rPr>
          <w:rFonts w:hint="eastAsia"/>
        </w:rPr>
        <w:t>1</w:t>
      </w:r>
      <w:r>
        <w:rPr>
          <w:rFonts w:hint="eastAsia"/>
        </w:rPr>
        <w:t>和</w:t>
      </w:r>
      <w:r>
        <w:rPr>
          <w:rFonts w:hint="eastAsia"/>
        </w:rPr>
        <w:t>2</w:t>
      </w:r>
      <w:r>
        <w:rPr>
          <w:rFonts w:hint="eastAsia"/>
        </w:rPr>
        <w:t>款</w:t>
      </w:r>
      <w:r>
        <w:rPr>
          <w:rFonts w:hint="eastAsia"/>
        </w:rPr>
        <w:t>)</w:t>
      </w:r>
      <w:r>
        <w:rPr>
          <w:rFonts w:hint="eastAsia"/>
        </w:rPr>
        <w:t>。</w:t>
      </w:r>
    </w:p>
    <w:p w:rsidR="00000000" w:rsidRDefault="00000000">
      <w:pPr>
        <w:rPr>
          <w:rFonts w:hint="eastAsia"/>
        </w:rPr>
      </w:pPr>
      <w:r>
        <w:rPr>
          <w:rFonts w:hint="eastAsia"/>
        </w:rPr>
        <w:tab/>
        <w:t xml:space="preserve">151.  </w:t>
      </w:r>
      <w:r>
        <w:rPr>
          <w:rFonts w:hint="eastAsia"/>
        </w:rPr>
        <w:t>为了法律问题和集体谈判中的安全，虽然协会可以自由成立而不须事先批准，但《劳工法》规定了协会必须登记才能成为法律实体因而能够参与集体谈判的条件。协会在其创立者提出申请后被记入协会登记册。</w:t>
      </w:r>
    </w:p>
    <w:p w:rsidR="00000000" w:rsidRDefault="00000000">
      <w:pPr>
        <w:rPr>
          <w:rFonts w:hint="eastAsia"/>
        </w:rPr>
      </w:pPr>
      <w:r>
        <w:rPr>
          <w:rFonts w:hint="eastAsia"/>
        </w:rPr>
        <w:tab/>
        <w:t xml:space="preserve">152.  </w:t>
      </w:r>
      <w:r>
        <w:rPr>
          <w:rFonts w:hint="eastAsia"/>
        </w:rPr>
        <w:t>登记册按协会的工作领域保存。记入登记册的申请必须附有：创立协会的决定、创立者集会的记录、章程或条例、创立者和执行机构成员的名单、能够代表协会的人员的姓名。协会章程必须根据民主代表性和成员民主表达意愿的原则制订和通过。协会章程应说明协会的宗旨、内部组织、名称、总部、活动领域、协会各机构的代号、选举和解散这些机构的方式、加入和退出协会的方式、确定成员会费的方式、通过和修改章程的方式、条例、获得、处置和监督财产的方式、协会停止活动的方式、受权签订集体协议的机构、组织罢工的条件和程序</w:t>
      </w:r>
      <w:r>
        <w:rPr>
          <w:rFonts w:hint="eastAsia"/>
        </w:rPr>
        <w:t>(</w:t>
      </w:r>
      <w:r>
        <w:rPr>
          <w:rFonts w:hint="eastAsia"/>
        </w:rPr>
        <w:t>劳工法第</w:t>
      </w:r>
      <w:r>
        <w:rPr>
          <w:rFonts w:hint="eastAsia"/>
        </w:rPr>
        <w:t>166</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153.  </w:t>
      </w:r>
      <w:r>
        <w:rPr>
          <w:rFonts w:hint="eastAsia"/>
        </w:rPr>
        <w:t>因此，劳工法仅规定协会章程的内容应是什么，而没有规定章程内应如何处理这些内容，除了协会内部组织必须基于民主代表性和成员民主表达意愿的原则以及章程规定的协定宗旨必须是订立集体协议。</w:t>
      </w:r>
    </w:p>
    <w:p w:rsidR="00000000" w:rsidRDefault="00000000">
      <w:pPr>
        <w:rPr>
          <w:rFonts w:hint="eastAsia"/>
        </w:rPr>
      </w:pPr>
      <w:r>
        <w:rPr>
          <w:rFonts w:hint="eastAsia"/>
        </w:rPr>
        <w:tab/>
        <w:t xml:space="preserve">154.  </w:t>
      </w:r>
      <w:r>
        <w:rPr>
          <w:rFonts w:hint="eastAsia"/>
        </w:rPr>
        <w:t>受权进行登记的机构必须就记入协会登记册的申请在申请提出后</w:t>
      </w:r>
      <w:r>
        <w:rPr>
          <w:rFonts w:hint="eastAsia"/>
        </w:rPr>
        <w:t>30</w:t>
      </w:r>
      <w:r>
        <w:rPr>
          <w:rFonts w:hint="eastAsia"/>
        </w:rPr>
        <w:t>天内作出裁决。</w:t>
      </w:r>
    </w:p>
    <w:p w:rsidR="00000000" w:rsidRDefault="00000000">
      <w:pPr>
        <w:rPr>
          <w:rFonts w:hint="eastAsia"/>
        </w:rPr>
      </w:pPr>
      <w:r>
        <w:rPr>
          <w:rFonts w:hint="eastAsia"/>
        </w:rPr>
        <w:tab/>
        <w:t xml:space="preserve">155.  </w:t>
      </w:r>
      <w:r>
        <w:rPr>
          <w:rFonts w:hint="eastAsia"/>
        </w:rPr>
        <w:t>如果这一受权机构没有在这一期限内作出裁决，那么协会将被视为在这一期限终止的第二天登记，在这种情况下，受权进行登记的机构必须在作出裁决的期限终止后</w:t>
      </w:r>
      <w:r>
        <w:rPr>
          <w:rFonts w:hint="eastAsia"/>
        </w:rPr>
        <w:t>7</w:t>
      </w:r>
      <w:r>
        <w:rPr>
          <w:rFonts w:hint="eastAsia"/>
        </w:rPr>
        <w:t>天内签发一份协会登记证书，其内容与登记裁决书的内容相同。</w:t>
      </w:r>
    </w:p>
    <w:p w:rsidR="00000000" w:rsidRDefault="00000000">
      <w:pPr>
        <w:rPr>
          <w:rFonts w:hint="eastAsia"/>
        </w:rPr>
      </w:pPr>
      <w:r>
        <w:rPr>
          <w:rFonts w:hint="eastAsia"/>
        </w:rPr>
        <w:tab/>
        <w:t xml:space="preserve">156.  </w:t>
      </w:r>
      <w:r>
        <w:rPr>
          <w:rFonts w:hint="eastAsia"/>
        </w:rPr>
        <w:t>在登记程序中，受权机构只能检查登记所需的一切附带文件是否都已提交以及协会章程是否符合法律。如果章程不符合法律，或者提出的申请没有附带证明法律规定的条件都已符合的文件，将请申请人在不超过</w:t>
      </w:r>
      <w:r>
        <w:rPr>
          <w:rFonts w:hint="eastAsia"/>
        </w:rPr>
        <w:t>15</w:t>
      </w:r>
      <w:r>
        <w:rPr>
          <w:rFonts w:hint="eastAsia"/>
        </w:rPr>
        <w:t>天的期间内提交符合法律的章程或提出适当的证据。</w:t>
      </w:r>
    </w:p>
    <w:p w:rsidR="00000000" w:rsidRDefault="00000000">
      <w:pPr>
        <w:rPr>
          <w:rFonts w:hint="eastAsia"/>
        </w:rPr>
      </w:pPr>
      <w:r>
        <w:rPr>
          <w:rFonts w:hint="eastAsia"/>
        </w:rPr>
        <w:tab/>
        <w:t xml:space="preserve">157.  </w:t>
      </w:r>
      <w:r>
        <w:rPr>
          <w:rFonts w:hint="eastAsia"/>
        </w:rPr>
        <w:t>关于国家雇员建立组织的权利，关于公务员和政府雇员以及关于负责司法职务者的工资的法律第</w:t>
      </w:r>
      <w:r>
        <w:rPr>
          <w:rFonts w:hint="eastAsia"/>
        </w:rPr>
        <w:t>4</w:t>
      </w:r>
      <w:r>
        <w:rPr>
          <w:rFonts w:hint="eastAsia"/>
        </w:rPr>
        <w:t>条规定，国家雇员有权按照一般工作条例参加工会，除非特别法中另有规定。</w:t>
      </w:r>
    </w:p>
    <w:p w:rsidR="00000000" w:rsidRDefault="00000000">
      <w:pPr>
        <w:rPr>
          <w:rFonts w:hint="eastAsia"/>
        </w:rPr>
      </w:pPr>
      <w:r>
        <w:rPr>
          <w:rFonts w:hint="eastAsia"/>
        </w:rPr>
        <w:tab/>
        <w:t xml:space="preserve">158.  </w:t>
      </w:r>
      <w:r>
        <w:rPr>
          <w:rFonts w:hint="eastAsia"/>
        </w:rPr>
        <w:t>因此国家雇员建立组织的权利，象所有其他受雇者的权利一样，受到承认而无任何限制。《劳工法》适用于国家官员的工会活动。</w:t>
      </w:r>
    </w:p>
    <w:p w:rsidR="00000000" w:rsidRDefault="00000000">
      <w:pPr>
        <w:rPr>
          <w:rFonts w:hint="eastAsia"/>
        </w:rPr>
      </w:pPr>
      <w:r>
        <w:rPr>
          <w:rFonts w:hint="eastAsia"/>
        </w:rPr>
        <w:tab/>
        <w:t xml:space="preserve">159.  </w:t>
      </w:r>
      <w:r>
        <w:rPr>
          <w:rFonts w:hint="eastAsia"/>
        </w:rPr>
        <w:t>《劳工法》也适用于国家拥有多数股权的公营公司雇员的工作关系。</w:t>
      </w:r>
    </w:p>
    <w:p w:rsidR="00000000" w:rsidRDefault="00000000">
      <w:pPr>
        <w:rPr>
          <w:rFonts w:hint="eastAsia"/>
        </w:rPr>
      </w:pPr>
      <w:r>
        <w:rPr>
          <w:rFonts w:hint="eastAsia"/>
        </w:rPr>
        <w:tab/>
        <w:t xml:space="preserve">160.  </w:t>
      </w:r>
      <w:r>
        <w:rPr>
          <w:rFonts w:hint="eastAsia"/>
        </w:rPr>
        <w:t>按照宪法第</w:t>
      </w:r>
      <w:r>
        <w:rPr>
          <w:rFonts w:hint="eastAsia"/>
        </w:rPr>
        <w:t>59</w:t>
      </w:r>
      <w:r>
        <w:rPr>
          <w:rFonts w:hint="eastAsia"/>
        </w:rPr>
        <w:t>条的规定，军队和警察的工会活动可加以限制，克罗地亚共和国兵役法</w:t>
      </w:r>
      <w:r>
        <w:rPr>
          <w:rFonts w:hint="eastAsia"/>
        </w:rPr>
        <w:t>(</w:t>
      </w:r>
      <w:r>
        <w:rPr>
          <w:rFonts w:hint="eastAsia"/>
        </w:rPr>
        <w:t>政府公报第</w:t>
      </w:r>
      <w:r>
        <w:rPr>
          <w:rFonts w:hint="eastAsia"/>
        </w:rPr>
        <w:t>23/95</w:t>
      </w:r>
      <w:r>
        <w:rPr>
          <w:rFonts w:hint="eastAsia"/>
        </w:rPr>
        <w:t>号</w:t>
      </w:r>
      <w:r>
        <w:rPr>
          <w:rFonts w:hint="eastAsia"/>
        </w:rPr>
        <w:t>)</w:t>
      </w:r>
      <w:r>
        <w:rPr>
          <w:rFonts w:hint="eastAsia"/>
        </w:rPr>
        <w:t>规定，现役军人不得在军队中组织工会。</w:t>
      </w:r>
    </w:p>
    <w:p w:rsidR="00000000" w:rsidRDefault="00000000">
      <w:pPr>
        <w:rPr>
          <w:rFonts w:hint="eastAsia"/>
        </w:rPr>
      </w:pPr>
      <w:r>
        <w:rPr>
          <w:rFonts w:hint="eastAsia"/>
        </w:rPr>
        <w:tab/>
        <w:t xml:space="preserve">161.  </w:t>
      </w:r>
      <w:r>
        <w:rPr>
          <w:rFonts w:hint="eastAsia"/>
        </w:rPr>
        <w:t>我们可以看到，法律只免除现役军人组织工会的权利，在军队中工作的雇员的权利则不受限制。</w:t>
      </w:r>
    </w:p>
    <w:p w:rsidR="00000000" w:rsidRDefault="00000000">
      <w:pPr>
        <w:rPr>
          <w:rFonts w:hint="eastAsia"/>
        </w:rPr>
      </w:pPr>
      <w:r>
        <w:rPr>
          <w:rFonts w:hint="eastAsia"/>
        </w:rPr>
        <w:tab/>
        <w:t xml:space="preserve">162.  </w:t>
      </w:r>
      <w:r>
        <w:rPr>
          <w:rFonts w:hint="eastAsia"/>
        </w:rPr>
        <w:t>没有任何特别条例禁止克罗地亚警察参加工会活动，他们的权利也不受任何限制，他们受工会中自由结社的一般条例的管辖。</w:t>
      </w:r>
    </w:p>
    <w:p w:rsidR="00000000" w:rsidRDefault="00000000">
      <w:pPr>
        <w:rPr>
          <w:rFonts w:hint="eastAsia"/>
        </w:rPr>
      </w:pPr>
      <w:r>
        <w:rPr>
          <w:rFonts w:hint="eastAsia"/>
        </w:rPr>
        <w:tab/>
        <w:t xml:space="preserve">163.  </w:t>
      </w:r>
      <w:r>
        <w:rPr>
          <w:rFonts w:hint="eastAsia"/>
        </w:rPr>
        <w:t>根据《内政法》第</w:t>
      </w:r>
      <w:r>
        <w:rPr>
          <w:rFonts w:hint="eastAsia"/>
        </w:rPr>
        <w:t>9</w:t>
      </w:r>
      <w:r>
        <w:rPr>
          <w:rFonts w:hint="eastAsia"/>
        </w:rPr>
        <w:t>条的规定，有关行政、工作关系、健康、退休和残疾保障及培训的条例也适用于内政部，除非法律另有规定。</w:t>
      </w:r>
    </w:p>
    <w:p w:rsidR="00000000" w:rsidRDefault="00000000">
      <w:pPr>
        <w:rPr>
          <w:rFonts w:hint="eastAsia"/>
        </w:rPr>
      </w:pPr>
      <w:r>
        <w:rPr>
          <w:rFonts w:hint="eastAsia"/>
        </w:rPr>
        <w:tab/>
        <w:t xml:space="preserve">164.  </w:t>
      </w:r>
      <w:r>
        <w:rPr>
          <w:rFonts w:hint="eastAsia"/>
        </w:rPr>
        <w:t>宪法第</w:t>
      </w:r>
      <w:r>
        <w:rPr>
          <w:rFonts w:hint="eastAsia"/>
        </w:rPr>
        <w:t>59</w:t>
      </w:r>
      <w:r>
        <w:rPr>
          <w:rFonts w:hint="eastAsia"/>
        </w:rPr>
        <w:t>条规定工会可成立自己的联合会，也可参加国际工会组织。</w:t>
      </w:r>
    </w:p>
    <w:p w:rsidR="00000000" w:rsidRDefault="00000000">
      <w:pPr>
        <w:rPr>
          <w:rFonts w:hint="eastAsia"/>
        </w:rPr>
      </w:pPr>
      <w:r>
        <w:rPr>
          <w:rFonts w:hint="eastAsia"/>
        </w:rPr>
        <w:tab/>
        <w:t xml:space="preserve">165.  </w:t>
      </w:r>
      <w:r>
        <w:rPr>
          <w:rFonts w:hint="eastAsia"/>
        </w:rPr>
        <w:t>根据这一宪法规定，《劳工法》第</w:t>
      </w:r>
      <w:r>
        <w:rPr>
          <w:rFonts w:hint="eastAsia"/>
        </w:rPr>
        <w:t>162</w:t>
      </w:r>
      <w:r>
        <w:rPr>
          <w:rFonts w:hint="eastAsia"/>
        </w:rPr>
        <w:t>条也规定，协会和较高级别的协会可自由参加为促进相同权利和利益设立的国际组织和与这些组织合作。</w:t>
      </w:r>
    </w:p>
    <w:p w:rsidR="00000000" w:rsidRDefault="00000000">
      <w:pPr>
        <w:rPr>
          <w:rFonts w:hint="eastAsia"/>
        </w:rPr>
      </w:pPr>
      <w:r>
        <w:rPr>
          <w:rFonts w:hint="eastAsia"/>
        </w:rPr>
        <w:tab/>
        <w:t xml:space="preserve">166.  </w:t>
      </w:r>
      <w:r>
        <w:rPr>
          <w:rFonts w:hint="eastAsia"/>
        </w:rPr>
        <w:t>目前，在克罗地亚共和国劳动和社会福利部登记的有：</w:t>
      </w:r>
      <w:r>
        <w:rPr>
          <w:rFonts w:hint="eastAsia"/>
        </w:rPr>
        <w:t>25</w:t>
      </w:r>
      <w:r>
        <w:rPr>
          <w:rFonts w:hint="eastAsia"/>
        </w:rPr>
        <w:t>个较高级别的工会协会；</w:t>
      </w:r>
      <w:r>
        <w:rPr>
          <w:rFonts w:hint="eastAsia"/>
        </w:rPr>
        <w:t>1</w:t>
      </w:r>
      <w:r>
        <w:rPr>
          <w:rFonts w:hint="eastAsia"/>
        </w:rPr>
        <w:t>个较高级别的雇主协会；</w:t>
      </w:r>
      <w:r>
        <w:rPr>
          <w:rFonts w:hint="eastAsia"/>
        </w:rPr>
        <w:t>159</w:t>
      </w:r>
      <w:r>
        <w:rPr>
          <w:rFonts w:hint="eastAsia"/>
        </w:rPr>
        <w:t>个工会协会；</w:t>
      </w:r>
      <w:r>
        <w:rPr>
          <w:rFonts w:hint="eastAsia"/>
        </w:rPr>
        <w:t>26</w:t>
      </w:r>
      <w:r>
        <w:rPr>
          <w:rFonts w:hint="eastAsia"/>
        </w:rPr>
        <w:t>个雇主协会。</w:t>
      </w:r>
    </w:p>
    <w:p w:rsidR="00000000" w:rsidRDefault="00000000">
      <w:pPr>
        <w:rPr>
          <w:rFonts w:hint="eastAsia"/>
        </w:rPr>
      </w:pPr>
      <w:r>
        <w:rPr>
          <w:rFonts w:hint="eastAsia"/>
        </w:rPr>
        <w:tab/>
        <w:t xml:space="preserve">167.  </w:t>
      </w:r>
      <w:r>
        <w:rPr>
          <w:rFonts w:hint="eastAsia"/>
        </w:rPr>
        <w:t>克罗地亚共和国宪法保障罢工的权利。《劳工法》规定工会或工会协会有权号召人们罢工和为保护和促进其成员的经济和社会利益进行罢工。罢工必须向罢工针对的雇主或雇主协会宣布。</w:t>
      </w:r>
    </w:p>
    <w:p w:rsidR="00000000" w:rsidRDefault="00000000">
      <w:pPr>
        <w:rPr>
          <w:rFonts w:hint="eastAsia"/>
        </w:rPr>
      </w:pPr>
      <w:r>
        <w:rPr>
          <w:rFonts w:hint="eastAsia"/>
        </w:rPr>
        <w:tab/>
        <w:t xml:space="preserve">168.  </w:t>
      </w:r>
      <w:r>
        <w:rPr>
          <w:rFonts w:hint="eastAsia"/>
        </w:rPr>
        <w:t>罢工不得在法律规定的和解程序结束之前开始，或在进行各当事方已同意的第二阶段和平解决争端之前开始</w:t>
      </w:r>
      <w:r>
        <w:rPr>
          <w:rFonts w:hint="eastAsia"/>
        </w:rPr>
        <w:t>(</w:t>
      </w:r>
      <w:r>
        <w:rPr>
          <w:rFonts w:hint="eastAsia"/>
        </w:rPr>
        <w:t>劳工法第</w:t>
      </w:r>
      <w:r>
        <w:rPr>
          <w:rFonts w:hint="eastAsia"/>
        </w:rPr>
        <w:t>210</w:t>
      </w:r>
      <w:r>
        <w:rPr>
          <w:rFonts w:hint="eastAsia"/>
        </w:rPr>
        <w:t>条</w:t>
      </w:r>
      <w:r>
        <w:rPr>
          <w:rFonts w:hint="eastAsia"/>
        </w:rPr>
        <w:t>)</w:t>
      </w:r>
      <w:r>
        <w:rPr>
          <w:rFonts w:hint="eastAsia"/>
        </w:rPr>
        <w:t>。如果各当事方未将集体劳动争端的解决交托仲裁，必须进行和解程序。</w:t>
      </w:r>
    </w:p>
    <w:p w:rsidR="00000000" w:rsidRDefault="00000000">
      <w:pPr>
        <w:rPr>
          <w:rFonts w:hint="eastAsia"/>
        </w:rPr>
      </w:pPr>
      <w:r>
        <w:rPr>
          <w:rFonts w:hint="eastAsia"/>
        </w:rPr>
        <w:tab/>
        <w:t xml:space="preserve">169.  </w:t>
      </w:r>
      <w:r>
        <w:rPr>
          <w:rFonts w:hint="eastAsia"/>
        </w:rPr>
        <w:t>最迟在宣布罢工之日，工会或较高一级工会协会必须公布按照劳工法的规定通过的有关罢工期间不能停工的工作规则</w:t>
      </w:r>
      <w:r>
        <w:rPr>
          <w:rFonts w:hint="eastAsia"/>
        </w:rPr>
        <w:t>(</w:t>
      </w:r>
      <w:r>
        <w:rPr>
          <w:rFonts w:hint="eastAsia"/>
        </w:rPr>
        <w:t>劳工法第</w:t>
      </w:r>
      <w:r>
        <w:rPr>
          <w:rFonts w:hint="eastAsia"/>
        </w:rPr>
        <w:t>210</w:t>
      </w:r>
      <w:r>
        <w:rPr>
          <w:rFonts w:hint="eastAsia"/>
        </w:rPr>
        <w:t>条第</w:t>
      </w:r>
      <w:r>
        <w:rPr>
          <w:rFonts w:hint="eastAsia"/>
        </w:rPr>
        <w:t>5</w:t>
      </w:r>
      <w:r>
        <w:rPr>
          <w:rFonts w:hint="eastAsia"/>
        </w:rPr>
        <w:t>款</w:t>
      </w:r>
      <w:r>
        <w:rPr>
          <w:rFonts w:hint="eastAsia"/>
        </w:rPr>
        <w:t>)</w:t>
      </w:r>
      <w:r>
        <w:rPr>
          <w:rFonts w:hint="eastAsia"/>
        </w:rPr>
        <w:t>。</w:t>
      </w:r>
    </w:p>
    <w:p w:rsidR="00000000" w:rsidRDefault="00000000">
      <w:pPr>
        <w:rPr>
          <w:rFonts w:hint="eastAsia"/>
        </w:rPr>
      </w:pPr>
      <w:r>
        <w:rPr>
          <w:rFonts w:hint="eastAsia"/>
        </w:rPr>
        <w:tab/>
        <w:t xml:space="preserve">170.  </w:t>
      </w:r>
      <w:r>
        <w:rPr>
          <w:rFonts w:hint="eastAsia"/>
        </w:rPr>
        <w:t>在雇主的建议下，工会和雇主将一起和意见一致地制订有关罢工或停工期间不能停止的生产维持工作和必要工作的规则。</w:t>
      </w:r>
    </w:p>
    <w:p w:rsidR="00000000" w:rsidRDefault="00000000">
      <w:pPr>
        <w:rPr>
          <w:rFonts w:hint="eastAsia"/>
        </w:rPr>
      </w:pPr>
      <w:r>
        <w:rPr>
          <w:rFonts w:hint="eastAsia"/>
        </w:rPr>
        <w:tab/>
        <w:t xml:space="preserve">171.  </w:t>
      </w:r>
      <w:r>
        <w:rPr>
          <w:rFonts w:hint="eastAsia"/>
        </w:rPr>
        <w:t>这些规则特别规定哪些工作不能停止和在罢工或停工期间需要多少雇员做这些工作，以便罢工一结束即能够继续工作</w:t>
      </w:r>
      <w:r>
        <w:rPr>
          <w:rFonts w:hint="eastAsia"/>
        </w:rPr>
        <w:t>(</w:t>
      </w:r>
      <w:r>
        <w:rPr>
          <w:rFonts w:hint="eastAsia"/>
        </w:rPr>
        <w:t>生产维持工作</w:t>
      </w:r>
      <w:r>
        <w:rPr>
          <w:rFonts w:hint="eastAsia"/>
        </w:rPr>
        <w:t>)</w:t>
      </w:r>
      <w:r>
        <w:rPr>
          <w:rFonts w:hint="eastAsia"/>
        </w:rPr>
        <w:t>或为防止生命、人身安全或公众的健康受到任何威胁绝对必需的工作</w:t>
      </w:r>
      <w:r>
        <w:rPr>
          <w:rFonts w:hint="eastAsia"/>
        </w:rPr>
        <w:t>(</w:t>
      </w:r>
      <w:r>
        <w:rPr>
          <w:rFonts w:hint="eastAsia"/>
        </w:rPr>
        <w:t>必要工作</w:t>
      </w:r>
      <w:r>
        <w:rPr>
          <w:rFonts w:hint="eastAsia"/>
        </w:rPr>
        <w:t>)</w:t>
      </w:r>
      <w:r>
        <w:rPr>
          <w:rFonts w:hint="eastAsia"/>
        </w:rPr>
        <w:t>有人做。这些工作的确定绝不得妨碍或限制罢工的权利。</w:t>
      </w:r>
    </w:p>
    <w:p w:rsidR="00000000" w:rsidRDefault="00000000">
      <w:pPr>
        <w:rPr>
          <w:rFonts w:hint="eastAsia"/>
        </w:rPr>
      </w:pPr>
      <w:r>
        <w:rPr>
          <w:rFonts w:hint="eastAsia"/>
        </w:rPr>
        <w:tab/>
        <w:t xml:space="preserve">172.  </w:t>
      </w:r>
      <w:r>
        <w:rPr>
          <w:rFonts w:hint="eastAsia"/>
        </w:rPr>
        <w:t>《劳工法》也对停工闭厂问题作了规定。雇主只在应付已经开始的罢工时才可闭厂停工。停工闭厂不得在罢工开始后</w:t>
      </w:r>
      <w:r>
        <w:rPr>
          <w:rFonts w:hint="eastAsia"/>
        </w:rPr>
        <w:t>8</w:t>
      </w:r>
      <w:r>
        <w:rPr>
          <w:rFonts w:hint="eastAsia"/>
        </w:rPr>
        <w:t>天结束前开始。停工的雇员人数不得超过参加罢工的雇员人数的一半。雇主必须支付特殊条例按构成被停工雇员最低工资的基数确定的缴款。</w:t>
      </w:r>
    </w:p>
    <w:p w:rsidR="00000000" w:rsidRDefault="00000000">
      <w:pPr>
        <w:rPr>
          <w:rFonts w:hint="eastAsia"/>
        </w:rPr>
      </w:pPr>
      <w:r>
        <w:rPr>
          <w:rFonts w:hint="eastAsia"/>
        </w:rPr>
        <w:tab/>
        <w:t xml:space="preserve">173.  </w:t>
      </w:r>
      <w:r>
        <w:rPr>
          <w:rFonts w:hint="eastAsia"/>
        </w:rPr>
        <w:t>雇主或雇主协会可向有关法院申请禁止违反法律规定组织和进行的罢工，工会可申请禁止违反法律规定组织和进行的停工闭厂</w:t>
      </w:r>
      <w:r>
        <w:rPr>
          <w:rFonts w:hint="eastAsia"/>
        </w:rPr>
        <w:t>(</w:t>
      </w:r>
      <w:r>
        <w:rPr>
          <w:rFonts w:hint="eastAsia"/>
        </w:rPr>
        <w:t>劳工法第</w:t>
      </w:r>
      <w:r>
        <w:rPr>
          <w:rFonts w:hint="eastAsia"/>
        </w:rPr>
        <w:t>215</w:t>
      </w:r>
      <w:r>
        <w:rPr>
          <w:rFonts w:hint="eastAsia"/>
        </w:rPr>
        <w:t>条和第</w:t>
      </w:r>
      <w:r>
        <w:rPr>
          <w:rFonts w:hint="eastAsia"/>
        </w:rPr>
        <w:t>216</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174.  </w:t>
      </w:r>
      <w:r>
        <w:rPr>
          <w:rFonts w:hint="eastAsia"/>
        </w:rPr>
        <w:t>虽然宪法第</w:t>
      </w:r>
      <w:r>
        <w:rPr>
          <w:rFonts w:hint="eastAsia"/>
        </w:rPr>
        <w:t>60</w:t>
      </w:r>
      <w:r>
        <w:rPr>
          <w:rFonts w:hint="eastAsia"/>
        </w:rPr>
        <w:t>条规定法律可限制国家行政部门和公共事业部门的罢工权利，但克罗地亚共和国并没有利用这一可能性，因此国家行政部门的雇员依照劳工法的规定有不受限制的罢工权利。</w:t>
      </w:r>
    </w:p>
    <w:p w:rsidR="00000000" w:rsidRDefault="00000000">
      <w:pPr>
        <w:rPr>
          <w:rFonts w:hint="eastAsia"/>
        </w:rPr>
      </w:pPr>
      <w:r>
        <w:rPr>
          <w:rFonts w:hint="eastAsia"/>
        </w:rPr>
        <w:tab/>
        <w:t xml:space="preserve">175.  </w:t>
      </w:r>
      <w:r>
        <w:rPr>
          <w:rFonts w:hint="eastAsia"/>
        </w:rPr>
        <w:t>现役军人不得罢工，因为他们不可以组织工会。军队中的所有其他雇员和官员可以组织工会，因此可以按照一般劳动条例进行罢工。</w:t>
      </w:r>
    </w:p>
    <w:p w:rsidR="00000000" w:rsidRDefault="00000000">
      <w:pPr>
        <w:spacing w:after="320"/>
        <w:rPr>
          <w:rFonts w:hint="eastAsia"/>
        </w:rPr>
      </w:pPr>
      <w:r>
        <w:rPr>
          <w:rFonts w:hint="eastAsia"/>
        </w:rPr>
        <w:tab/>
        <w:t xml:space="preserve">176.  </w:t>
      </w:r>
      <w:r>
        <w:rPr>
          <w:rFonts w:hint="eastAsia"/>
        </w:rPr>
        <w:t>《内政法》规定了一项对罢工权利的限制，即在罢工会使该法确定的工作无法进行时，内政部的工作人员不得罢工。</w:t>
      </w:r>
    </w:p>
    <w:p w:rsidR="00000000" w:rsidRDefault="00000000">
      <w:pPr>
        <w:pStyle w:val="Heading3"/>
        <w:rPr>
          <w:rFonts w:hint="eastAsia"/>
        </w:rPr>
      </w:pPr>
      <w:r>
        <w:rPr>
          <w:rFonts w:hint="eastAsia"/>
        </w:rPr>
        <w:t>第</w:t>
      </w:r>
      <w:r>
        <w:rPr>
          <w:rFonts w:hint="eastAsia"/>
        </w:rPr>
        <w:t xml:space="preserve"> 9 </w:t>
      </w:r>
      <w:r>
        <w:rPr>
          <w:rFonts w:hint="eastAsia"/>
        </w:rPr>
        <w:t>条</w:t>
      </w:r>
    </w:p>
    <w:p w:rsidR="00000000" w:rsidRDefault="00000000">
      <w:pPr>
        <w:rPr>
          <w:rFonts w:hint="eastAsia"/>
        </w:rPr>
      </w:pPr>
      <w:r>
        <w:rPr>
          <w:rFonts w:hint="eastAsia"/>
        </w:rPr>
        <w:tab/>
        <w:t xml:space="preserve">177.  </w:t>
      </w:r>
      <w:r>
        <w:rPr>
          <w:rFonts w:hint="eastAsia"/>
        </w:rPr>
        <w:t>由于克罗地亚共和国是国际劳工组织《社会保障</w:t>
      </w:r>
      <w:r>
        <w:rPr>
          <w:rFonts w:hint="eastAsia"/>
        </w:rPr>
        <w:t>(</w:t>
      </w:r>
      <w:r>
        <w:rPr>
          <w:rFonts w:hint="eastAsia"/>
        </w:rPr>
        <w:t>最低标准</w:t>
      </w:r>
      <w:r>
        <w:rPr>
          <w:rFonts w:hint="eastAsia"/>
        </w:rPr>
        <w:t>)</w:t>
      </w:r>
      <w:r>
        <w:rPr>
          <w:rFonts w:hint="eastAsia"/>
        </w:rPr>
        <w:t>公约》</w:t>
      </w:r>
      <w:r>
        <w:rPr>
          <w:rFonts w:hint="eastAsia"/>
        </w:rPr>
        <w:t>(</w:t>
      </w:r>
      <w:r>
        <w:rPr>
          <w:rFonts w:hint="eastAsia"/>
        </w:rPr>
        <w:t>第</w:t>
      </w:r>
      <w:r>
        <w:rPr>
          <w:rFonts w:hint="eastAsia"/>
        </w:rPr>
        <w:t>102</w:t>
      </w:r>
      <w:r>
        <w:rPr>
          <w:rFonts w:hint="eastAsia"/>
        </w:rPr>
        <w:t>号</w:t>
      </w:r>
      <w:r>
        <w:rPr>
          <w:rFonts w:hint="eastAsia"/>
        </w:rPr>
        <w:t>)</w:t>
      </w:r>
      <w:r>
        <w:rPr>
          <w:rFonts w:hint="eastAsia"/>
        </w:rPr>
        <w:t>的缔约国，并向有关机构提交有关这项公约实施情况的报告，我们将参照这一报告与《公约》第一条规定的权利有关的内容。</w:t>
      </w:r>
    </w:p>
    <w:p w:rsidR="00000000" w:rsidRDefault="00000000">
      <w:pPr>
        <w:rPr>
          <w:rFonts w:hint="eastAsia"/>
        </w:rPr>
      </w:pPr>
      <w:r>
        <w:rPr>
          <w:rFonts w:hint="eastAsia"/>
        </w:rPr>
        <w:tab/>
        <w:t xml:space="preserve">178.  </w:t>
      </w:r>
      <w:r>
        <w:rPr>
          <w:rFonts w:hint="eastAsia"/>
        </w:rPr>
        <w:t>在关于基本自由和经济、社会、文化权利等基本权利的一章中，克罗地亚共和国宪法第</w:t>
      </w:r>
      <w:r>
        <w:rPr>
          <w:rFonts w:hint="eastAsia"/>
        </w:rPr>
        <w:t>56</w:t>
      </w:r>
      <w:r>
        <w:rPr>
          <w:rFonts w:hint="eastAsia"/>
        </w:rPr>
        <w:t>条第</w:t>
      </w:r>
      <w:r>
        <w:rPr>
          <w:rFonts w:hint="eastAsia"/>
        </w:rPr>
        <w:t>1</w:t>
      </w:r>
      <w:r>
        <w:rPr>
          <w:rFonts w:hint="eastAsia"/>
        </w:rPr>
        <w:t>款规定受雇者及其家属有权享受法律和集体协议规定的社会保障和社会保险。克罗地亚共和国的社会保险制度覆盖：</w:t>
      </w:r>
    </w:p>
    <w:p w:rsidR="00000000" w:rsidRDefault="00000000">
      <w:pPr>
        <w:rPr>
          <w:rFonts w:hint="eastAsia"/>
        </w:rPr>
      </w:pPr>
      <w:r>
        <w:rPr>
          <w:rFonts w:hint="eastAsia"/>
        </w:rPr>
        <w:tab/>
      </w:r>
      <w:r>
        <w:rPr>
          <w:rFonts w:hint="eastAsia"/>
        </w:rPr>
        <w:tab/>
      </w:r>
      <w:r>
        <w:rPr>
          <w:rFonts w:hint="eastAsia"/>
        </w:rPr>
        <w:t>保健</w:t>
      </w:r>
    </w:p>
    <w:p w:rsidR="00000000" w:rsidRDefault="00000000">
      <w:pPr>
        <w:rPr>
          <w:rFonts w:hint="eastAsia"/>
        </w:rPr>
      </w:pPr>
      <w:r>
        <w:rPr>
          <w:rFonts w:hint="eastAsia"/>
        </w:rPr>
        <w:tab/>
      </w:r>
      <w:r>
        <w:rPr>
          <w:rFonts w:hint="eastAsia"/>
        </w:rPr>
        <w:tab/>
      </w:r>
      <w:r>
        <w:rPr>
          <w:rFonts w:hint="eastAsia"/>
        </w:rPr>
        <w:t>疾病津贴</w:t>
      </w:r>
      <w:r>
        <w:rPr>
          <w:rFonts w:hint="eastAsia"/>
        </w:rPr>
        <w:t>(</w:t>
      </w:r>
      <w:r>
        <w:rPr>
          <w:rFonts w:hint="eastAsia"/>
        </w:rPr>
        <w:t>现金补贴</w:t>
      </w:r>
      <w:r>
        <w:rPr>
          <w:rFonts w:hint="eastAsia"/>
        </w:rPr>
        <w:t>)</w:t>
      </w:r>
    </w:p>
    <w:p w:rsidR="00000000" w:rsidRDefault="00000000">
      <w:pPr>
        <w:rPr>
          <w:rFonts w:hint="eastAsia"/>
        </w:rPr>
      </w:pPr>
      <w:r>
        <w:rPr>
          <w:rFonts w:hint="eastAsia"/>
        </w:rPr>
        <w:tab/>
      </w:r>
      <w:r>
        <w:rPr>
          <w:rFonts w:hint="eastAsia"/>
        </w:rPr>
        <w:tab/>
      </w:r>
      <w:r>
        <w:rPr>
          <w:rFonts w:hint="eastAsia"/>
        </w:rPr>
        <w:t>产妇津贴</w:t>
      </w:r>
    </w:p>
    <w:p w:rsidR="00000000" w:rsidRDefault="00000000">
      <w:pPr>
        <w:rPr>
          <w:rFonts w:hint="eastAsia"/>
        </w:rPr>
      </w:pPr>
      <w:r>
        <w:rPr>
          <w:rFonts w:hint="eastAsia"/>
        </w:rPr>
        <w:tab/>
      </w:r>
      <w:r>
        <w:rPr>
          <w:rFonts w:hint="eastAsia"/>
        </w:rPr>
        <w:tab/>
      </w:r>
      <w:r>
        <w:rPr>
          <w:rFonts w:hint="eastAsia"/>
        </w:rPr>
        <w:t>老年津贴</w:t>
      </w:r>
    </w:p>
    <w:p w:rsidR="00000000" w:rsidRDefault="00000000">
      <w:pPr>
        <w:rPr>
          <w:rFonts w:hint="eastAsia"/>
        </w:rPr>
      </w:pPr>
      <w:r>
        <w:rPr>
          <w:rFonts w:hint="eastAsia"/>
        </w:rPr>
        <w:tab/>
      </w:r>
      <w:r>
        <w:rPr>
          <w:rFonts w:hint="eastAsia"/>
        </w:rPr>
        <w:tab/>
      </w:r>
      <w:r>
        <w:rPr>
          <w:rFonts w:hint="eastAsia"/>
        </w:rPr>
        <w:t>残废津贴</w:t>
      </w:r>
    </w:p>
    <w:p w:rsidR="00000000" w:rsidRDefault="00000000">
      <w:pPr>
        <w:rPr>
          <w:rFonts w:hint="eastAsia"/>
        </w:rPr>
      </w:pPr>
      <w:r>
        <w:rPr>
          <w:rFonts w:hint="eastAsia"/>
        </w:rPr>
        <w:tab/>
      </w:r>
      <w:r>
        <w:rPr>
          <w:rFonts w:hint="eastAsia"/>
        </w:rPr>
        <w:tab/>
      </w:r>
      <w:r>
        <w:rPr>
          <w:rFonts w:hint="eastAsia"/>
        </w:rPr>
        <w:t>遗属津贴</w:t>
      </w:r>
    </w:p>
    <w:p w:rsidR="00000000" w:rsidRDefault="00000000">
      <w:pPr>
        <w:rPr>
          <w:rFonts w:hint="eastAsia"/>
        </w:rPr>
      </w:pPr>
      <w:r>
        <w:rPr>
          <w:rFonts w:hint="eastAsia"/>
        </w:rPr>
        <w:tab/>
      </w:r>
      <w:r>
        <w:rPr>
          <w:rFonts w:hint="eastAsia"/>
        </w:rPr>
        <w:tab/>
      </w:r>
      <w:r>
        <w:rPr>
          <w:rFonts w:hint="eastAsia"/>
        </w:rPr>
        <w:t>工伤事故津贴</w:t>
      </w:r>
    </w:p>
    <w:p w:rsidR="00000000" w:rsidRDefault="00000000">
      <w:pPr>
        <w:rPr>
          <w:rFonts w:hint="eastAsia"/>
        </w:rPr>
      </w:pPr>
      <w:r>
        <w:rPr>
          <w:rFonts w:hint="eastAsia"/>
        </w:rPr>
        <w:tab/>
      </w:r>
      <w:r>
        <w:rPr>
          <w:rFonts w:hint="eastAsia"/>
        </w:rPr>
        <w:tab/>
      </w:r>
      <w:r>
        <w:rPr>
          <w:rFonts w:hint="eastAsia"/>
        </w:rPr>
        <w:t>失业补贴</w:t>
      </w:r>
    </w:p>
    <w:p w:rsidR="00000000" w:rsidRDefault="00000000">
      <w:pPr>
        <w:spacing w:after="240"/>
        <w:rPr>
          <w:rFonts w:hint="eastAsia"/>
        </w:rPr>
      </w:pPr>
      <w:r>
        <w:rPr>
          <w:rFonts w:hint="eastAsia"/>
        </w:rPr>
        <w:tab/>
      </w:r>
      <w:r>
        <w:rPr>
          <w:rFonts w:hint="eastAsia"/>
        </w:rPr>
        <w:tab/>
      </w:r>
      <w:r>
        <w:rPr>
          <w:rFonts w:hint="eastAsia"/>
        </w:rPr>
        <w:t>家庭津贴。</w:t>
      </w:r>
    </w:p>
    <w:p w:rsidR="00000000" w:rsidRDefault="00000000">
      <w:pPr>
        <w:pStyle w:val="Heading4"/>
        <w:rPr>
          <w:rFonts w:hint="eastAsia"/>
        </w:rPr>
      </w:pPr>
      <w:r>
        <w:rPr>
          <w:rFonts w:hint="eastAsia"/>
        </w:rPr>
        <w:t>保</w:t>
      </w:r>
      <w:r>
        <w:rPr>
          <w:rFonts w:hint="eastAsia"/>
        </w:rPr>
        <w:t xml:space="preserve">  </w:t>
      </w:r>
      <w:r>
        <w:rPr>
          <w:rFonts w:hint="eastAsia"/>
        </w:rPr>
        <w:t>健</w:t>
      </w:r>
    </w:p>
    <w:p w:rsidR="00000000" w:rsidRDefault="00000000">
      <w:pPr>
        <w:rPr>
          <w:rFonts w:hint="eastAsia"/>
        </w:rPr>
      </w:pPr>
      <w:r>
        <w:rPr>
          <w:rFonts w:hint="eastAsia"/>
        </w:rPr>
        <w:tab/>
        <w:t xml:space="preserve">179.  </w:t>
      </w:r>
      <w:r>
        <w:rPr>
          <w:rFonts w:hint="eastAsia"/>
        </w:rPr>
        <w:t>克罗地亚共和国宪法第</w:t>
      </w:r>
      <w:r>
        <w:rPr>
          <w:rFonts w:hint="eastAsia"/>
        </w:rPr>
        <w:t>58</w:t>
      </w:r>
      <w:r>
        <w:rPr>
          <w:rFonts w:hint="eastAsia"/>
        </w:rPr>
        <w:t>条保证每个公民有权享受保健。</w:t>
      </w:r>
    </w:p>
    <w:p w:rsidR="00000000" w:rsidRDefault="00000000">
      <w:pPr>
        <w:rPr>
          <w:rFonts w:hint="eastAsia"/>
        </w:rPr>
      </w:pPr>
      <w:r>
        <w:rPr>
          <w:rFonts w:hint="eastAsia"/>
        </w:rPr>
        <w:tab/>
        <w:t xml:space="preserve">180.  </w:t>
      </w:r>
      <w:r>
        <w:rPr>
          <w:rFonts w:hint="eastAsia"/>
        </w:rPr>
        <w:t>保健包括一整套改善、维持和恢复健康的国家、集体和个人措施。</w:t>
      </w:r>
    </w:p>
    <w:p w:rsidR="00000000" w:rsidRDefault="00000000">
      <w:pPr>
        <w:rPr>
          <w:rFonts w:hint="eastAsia"/>
        </w:rPr>
      </w:pPr>
      <w:r>
        <w:rPr>
          <w:rFonts w:hint="eastAsia"/>
        </w:rPr>
        <w:tab/>
        <w:t xml:space="preserve">181.  </w:t>
      </w:r>
      <w:r>
        <w:rPr>
          <w:rFonts w:hint="eastAsia"/>
        </w:rPr>
        <w:t>克罗地亚共和国的公民保健是根据普遍性、连续性和可得性原则进行的，初级保健按综合办法进行，专科、抚慰和住院病人保健按专科办法进行。</w:t>
      </w:r>
    </w:p>
    <w:p w:rsidR="00000000" w:rsidRDefault="00000000">
      <w:pPr>
        <w:rPr>
          <w:rFonts w:hint="eastAsia"/>
        </w:rPr>
      </w:pPr>
      <w:r>
        <w:rPr>
          <w:rFonts w:hint="eastAsia"/>
        </w:rPr>
        <w:tab/>
        <w:t xml:space="preserve">182.  </w:t>
      </w:r>
      <w:r>
        <w:rPr>
          <w:rFonts w:hint="eastAsia"/>
        </w:rPr>
        <w:t>健康保险是强制的和自愿的。</w:t>
      </w:r>
    </w:p>
    <w:p w:rsidR="00000000" w:rsidRDefault="00000000">
      <w:pPr>
        <w:rPr>
          <w:rFonts w:hint="eastAsia"/>
        </w:rPr>
      </w:pPr>
      <w:r>
        <w:rPr>
          <w:rFonts w:hint="eastAsia"/>
        </w:rPr>
        <w:tab/>
        <w:t xml:space="preserve">183.  </w:t>
      </w:r>
      <w:r>
        <w:rPr>
          <w:rFonts w:hint="eastAsia"/>
        </w:rPr>
        <w:t>通过健康保险，被保险人在利用保健方面享有权利也负有义务，以及健康保险带来的其他权利和义务。</w:t>
      </w:r>
    </w:p>
    <w:p w:rsidR="00000000" w:rsidRDefault="00000000">
      <w:pPr>
        <w:rPr>
          <w:rFonts w:hint="eastAsia"/>
        </w:rPr>
      </w:pPr>
      <w:r>
        <w:rPr>
          <w:rFonts w:hint="eastAsia"/>
        </w:rPr>
        <w:tab/>
        <w:t xml:space="preserve">184.  </w:t>
      </w:r>
      <w:r>
        <w:rPr>
          <w:rFonts w:hint="eastAsia"/>
        </w:rPr>
        <w:t>具有强制健康保险带来的权利和义务的人在根据《健康保险法》理解的意义上是被保险人、其家属和在某些情况下被保险的其他人。</w:t>
      </w:r>
    </w:p>
    <w:p w:rsidR="00000000" w:rsidRDefault="00000000">
      <w:pPr>
        <w:rPr>
          <w:rFonts w:hint="eastAsia"/>
        </w:rPr>
      </w:pPr>
      <w:r>
        <w:rPr>
          <w:rFonts w:hint="eastAsia"/>
        </w:rPr>
        <w:tab/>
        <w:t xml:space="preserve">185.  </w:t>
      </w:r>
      <w:r>
        <w:rPr>
          <w:rFonts w:hint="eastAsia"/>
        </w:rPr>
        <w:t>在健康保险中，义务被保险人</w:t>
      </w:r>
      <w:r>
        <w:rPr>
          <w:rFonts w:hint="eastAsia"/>
        </w:rPr>
        <w:t>(</w:t>
      </w:r>
      <w:r>
        <w:rPr>
          <w:rFonts w:hint="eastAsia"/>
        </w:rPr>
        <w:t>被保险人</w:t>
      </w:r>
      <w:r>
        <w:rPr>
          <w:rFonts w:hint="eastAsia"/>
        </w:rPr>
        <w:t>)</w:t>
      </w:r>
      <w:r>
        <w:rPr>
          <w:rFonts w:hint="eastAsia"/>
        </w:rPr>
        <w:t>是：</w:t>
      </w:r>
    </w:p>
    <w:p w:rsidR="00000000" w:rsidRDefault="00000000">
      <w:pPr>
        <w:numPr>
          <w:ilvl w:val="0"/>
          <w:numId w:val="35"/>
        </w:numPr>
        <w:rPr>
          <w:rFonts w:hint="eastAsia"/>
        </w:rPr>
      </w:pPr>
      <w:r>
        <w:rPr>
          <w:rFonts w:hint="eastAsia"/>
        </w:rPr>
        <w:t>克罗地亚共和国境内一个法律实体或私人实体雇用的人；</w:t>
      </w:r>
    </w:p>
    <w:p w:rsidR="00000000" w:rsidRDefault="00000000">
      <w:pPr>
        <w:numPr>
          <w:ilvl w:val="0"/>
          <w:numId w:val="35"/>
        </w:numPr>
        <w:rPr>
          <w:rFonts w:hint="eastAsia"/>
        </w:rPr>
      </w:pPr>
      <w:r>
        <w:rPr>
          <w:rFonts w:hint="eastAsia"/>
        </w:rPr>
        <w:t>总部在克罗地亚共和国境内的法律实体或私人实体雇用的被调派到国外工作或进一步培训的人和在国外工作的被保险人家庭中工作的人</w:t>
      </w:r>
      <w:r>
        <w:rPr>
          <w:rFonts w:hint="eastAsia"/>
        </w:rPr>
        <w:t>(</w:t>
      </w:r>
      <w:r>
        <w:rPr>
          <w:rFonts w:hint="eastAsia"/>
        </w:rPr>
        <w:t>如果他们在被调派去的国家中没有保险</w:t>
      </w:r>
      <w:r>
        <w:rPr>
          <w:rFonts w:hint="eastAsia"/>
        </w:rPr>
        <w:t>)</w:t>
      </w:r>
      <w:r>
        <w:rPr>
          <w:rFonts w:hint="eastAsia"/>
        </w:rPr>
        <w:t>；</w:t>
      </w:r>
    </w:p>
    <w:p w:rsidR="00000000" w:rsidRDefault="00000000">
      <w:pPr>
        <w:numPr>
          <w:ilvl w:val="0"/>
          <w:numId w:val="35"/>
        </w:numPr>
        <w:rPr>
          <w:rFonts w:hint="eastAsia"/>
        </w:rPr>
      </w:pPr>
      <w:r>
        <w:rPr>
          <w:rFonts w:hint="eastAsia"/>
        </w:rPr>
        <w:t>被挑选或任命在国家政府或司法部门某个机构或地方政府单位担任某种长期职务的人，如果他们因做这项工作而得到工资；</w:t>
      </w:r>
    </w:p>
    <w:p w:rsidR="00000000" w:rsidRDefault="00000000">
      <w:pPr>
        <w:numPr>
          <w:ilvl w:val="0"/>
          <w:numId w:val="35"/>
        </w:numPr>
        <w:rPr>
          <w:rFonts w:hint="eastAsia"/>
        </w:rPr>
      </w:pPr>
      <w:r>
        <w:rPr>
          <w:rFonts w:hint="eastAsia"/>
        </w:rPr>
        <w:t>总部设在克罗地亚境内的外国或国际组织和机构、外国使领馆雇用的人；</w:t>
      </w:r>
    </w:p>
    <w:p w:rsidR="00000000" w:rsidRDefault="00000000">
      <w:pPr>
        <w:numPr>
          <w:ilvl w:val="0"/>
          <w:numId w:val="35"/>
        </w:numPr>
        <w:rPr>
          <w:rFonts w:hint="eastAsia"/>
        </w:rPr>
      </w:pPr>
      <w:r>
        <w:rPr>
          <w:rFonts w:hint="eastAsia"/>
        </w:rPr>
        <w:t>在克罗地亚共和国境内有住所但在国外为外国雇主工作、没有外国健康保险当局的医疗保险的人；</w:t>
      </w:r>
    </w:p>
    <w:p w:rsidR="00000000" w:rsidRDefault="00000000">
      <w:pPr>
        <w:numPr>
          <w:ilvl w:val="0"/>
          <w:numId w:val="35"/>
        </w:numPr>
        <w:rPr>
          <w:rFonts w:hint="eastAsia"/>
        </w:rPr>
      </w:pPr>
      <w:r>
        <w:rPr>
          <w:rFonts w:hint="eastAsia"/>
        </w:rPr>
        <w:t>在完成教育后从事义务性实际工作的人，如果他们全时工作；</w:t>
      </w:r>
    </w:p>
    <w:p w:rsidR="00000000" w:rsidRDefault="00000000">
      <w:pPr>
        <w:numPr>
          <w:ilvl w:val="0"/>
          <w:numId w:val="35"/>
        </w:numPr>
        <w:rPr>
          <w:rFonts w:hint="eastAsia"/>
        </w:rPr>
      </w:pPr>
      <w:r>
        <w:rPr>
          <w:rFonts w:hint="eastAsia"/>
        </w:rPr>
        <w:t>在克罗地亚共和国境内从事某种经济活动的人和自我雇用从事某种专业活动的人；</w:t>
      </w:r>
    </w:p>
    <w:p w:rsidR="00000000" w:rsidRDefault="00000000">
      <w:pPr>
        <w:numPr>
          <w:ilvl w:val="0"/>
          <w:numId w:val="35"/>
        </w:numPr>
        <w:rPr>
          <w:rFonts w:hint="eastAsia"/>
        </w:rPr>
      </w:pPr>
      <w:r>
        <w:rPr>
          <w:rFonts w:hint="eastAsia"/>
        </w:rPr>
        <w:t>在克罗地亚共和国境内从事农业是其唯一或主要职业的小农、出租其农业土地的农民和租赁农业土地的人，如果他们没有其他的健康保险；</w:t>
      </w:r>
    </w:p>
    <w:p w:rsidR="00000000" w:rsidRDefault="00000000">
      <w:pPr>
        <w:numPr>
          <w:ilvl w:val="0"/>
          <w:numId w:val="35"/>
        </w:numPr>
        <w:rPr>
          <w:rFonts w:hint="eastAsia"/>
        </w:rPr>
      </w:pPr>
      <w:r>
        <w:rPr>
          <w:rFonts w:hint="eastAsia"/>
        </w:rPr>
        <w:t>住在克罗地亚共和国的领取养恤金的人以及按照克罗地亚共和国退休和残疾保险条例享有职业恢复和就业权利的受惠者；</w:t>
      </w:r>
    </w:p>
    <w:p w:rsidR="00000000" w:rsidRDefault="00000000">
      <w:pPr>
        <w:numPr>
          <w:ilvl w:val="0"/>
          <w:numId w:val="35"/>
        </w:numPr>
        <w:rPr>
          <w:rFonts w:hint="eastAsia"/>
        </w:rPr>
      </w:pPr>
      <w:r>
        <w:rPr>
          <w:rFonts w:hint="eastAsia"/>
        </w:rPr>
        <w:t>户籍在或长期居留在克罗地亚共和国的领取养恤金和残疾津贴的人，但他们的这一养恤金和津贴全部向外国退休和残疾保险当局领取，除非国际条约另有规定；</w:t>
      </w:r>
    </w:p>
    <w:p w:rsidR="00000000" w:rsidRDefault="00000000">
      <w:pPr>
        <w:numPr>
          <w:ilvl w:val="0"/>
          <w:numId w:val="35"/>
        </w:numPr>
        <w:rPr>
          <w:rFonts w:hint="eastAsia"/>
        </w:rPr>
      </w:pPr>
      <w:r>
        <w:rPr>
          <w:rFonts w:hint="eastAsia"/>
        </w:rPr>
        <w:t>住在克罗地亚共和国、没有其他健康保险并且在职业介绍所登记的人，如果他们是：</w:t>
      </w:r>
    </w:p>
    <w:p w:rsidR="00000000" w:rsidRDefault="00000000">
      <w:pPr>
        <w:numPr>
          <w:ilvl w:val="0"/>
          <w:numId w:val="36"/>
        </w:numPr>
        <w:ind w:left="1961"/>
        <w:rPr>
          <w:rFonts w:hint="eastAsia"/>
        </w:rPr>
      </w:pPr>
      <w:r>
        <w:rPr>
          <w:rFonts w:hint="eastAsia"/>
        </w:rPr>
        <w:t>在停止就业或做某项工作或者停止领取根据劳工法或根据依照劳工法通过的条例他们有权得到的工资补偿后</w:t>
      </w:r>
      <w:r>
        <w:rPr>
          <w:rFonts w:hint="eastAsia"/>
        </w:rPr>
        <w:t>30</w:t>
      </w:r>
      <w:r>
        <w:rPr>
          <w:rFonts w:hint="eastAsia"/>
        </w:rPr>
        <w:t>天内登记；</w:t>
      </w:r>
    </w:p>
    <w:p w:rsidR="00000000" w:rsidRDefault="00000000">
      <w:pPr>
        <w:numPr>
          <w:ilvl w:val="0"/>
          <w:numId w:val="36"/>
        </w:numPr>
        <w:ind w:left="1961"/>
        <w:rPr>
          <w:rFonts w:hint="eastAsia"/>
        </w:rPr>
      </w:pPr>
      <w:r>
        <w:rPr>
          <w:rFonts w:hint="eastAsia"/>
        </w:rPr>
        <w:t>在服完兵役或在他们因此退役的不能工作期间结束后</w:t>
      </w:r>
      <w:r>
        <w:rPr>
          <w:rFonts w:hint="eastAsia"/>
        </w:rPr>
        <w:t>30</w:t>
      </w:r>
      <w:r>
        <w:rPr>
          <w:rFonts w:hint="eastAsia"/>
        </w:rPr>
        <w:t>天内登记；</w:t>
      </w:r>
    </w:p>
    <w:p w:rsidR="00000000" w:rsidRDefault="00000000">
      <w:pPr>
        <w:numPr>
          <w:ilvl w:val="0"/>
          <w:numId w:val="36"/>
        </w:numPr>
        <w:ind w:left="1961"/>
        <w:rPr>
          <w:rFonts w:hint="eastAsia"/>
        </w:rPr>
      </w:pPr>
      <w:r>
        <w:rPr>
          <w:rFonts w:hint="eastAsia"/>
        </w:rPr>
        <w:t>在从监管教养机构、从采取强制心理治疗安全措施的保健或专门机构、或从酗酒和毒瘾强制治疗机构被释放后</w:t>
      </w:r>
      <w:r>
        <w:rPr>
          <w:rFonts w:hint="eastAsia"/>
        </w:rPr>
        <w:t>30</w:t>
      </w:r>
      <w:r>
        <w:rPr>
          <w:rFonts w:hint="eastAsia"/>
        </w:rPr>
        <w:t>天内登记；</w:t>
      </w:r>
    </w:p>
    <w:p w:rsidR="00000000" w:rsidRDefault="00000000">
      <w:pPr>
        <w:numPr>
          <w:ilvl w:val="0"/>
          <w:numId w:val="36"/>
        </w:numPr>
        <w:ind w:left="1961"/>
        <w:rPr>
          <w:rFonts w:hint="eastAsia"/>
        </w:rPr>
      </w:pPr>
      <w:r>
        <w:rPr>
          <w:rFonts w:hint="eastAsia"/>
        </w:rPr>
        <w:t>参加职业介绍所举办的职业培训和再培训；</w:t>
      </w:r>
    </w:p>
    <w:p w:rsidR="00000000" w:rsidRDefault="00000000">
      <w:pPr>
        <w:numPr>
          <w:ilvl w:val="0"/>
          <w:numId w:val="36"/>
        </w:numPr>
        <w:ind w:left="1961"/>
        <w:rPr>
          <w:rFonts w:hint="eastAsia"/>
        </w:rPr>
      </w:pPr>
      <w:r>
        <w:rPr>
          <w:rFonts w:hint="eastAsia"/>
        </w:rPr>
        <w:t>在国外的工作结束回到克罗地亚共和国后</w:t>
      </w:r>
      <w:r>
        <w:rPr>
          <w:rFonts w:hint="eastAsia"/>
        </w:rPr>
        <w:t>30</w:t>
      </w:r>
      <w:r>
        <w:rPr>
          <w:rFonts w:hint="eastAsia"/>
        </w:rPr>
        <w:t>天内登记，并且他们在出国前在克罗地亚共和国有健康保险；</w:t>
      </w:r>
    </w:p>
    <w:p w:rsidR="00000000" w:rsidRDefault="00000000">
      <w:pPr>
        <w:numPr>
          <w:ilvl w:val="0"/>
          <w:numId w:val="36"/>
        </w:numPr>
        <w:ind w:left="1961"/>
        <w:rPr>
          <w:rFonts w:hint="eastAsia"/>
        </w:rPr>
      </w:pPr>
      <w:r>
        <w:rPr>
          <w:rFonts w:hint="eastAsia"/>
        </w:rPr>
        <w:t>在他们完成正规教育的学年结束或他们通过考试的那一天后</w:t>
      </w:r>
      <w:r>
        <w:rPr>
          <w:rFonts w:hint="eastAsia"/>
        </w:rPr>
        <w:t>30</w:t>
      </w:r>
      <w:r>
        <w:rPr>
          <w:rFonts w:hint="eastAsia"/>
        </w:rPr>
        <w:t>天内登记，如果在这之前他们丧失了保健权利；</w:t>
      </w:r>
    </w:p>
    <w:p w:rsidR="00000000" w:rsidRDefault="00000000">
      <w:pPr>
        <w:numPr>
          <w:ilvl w:val="0"/>
          <w:numId w:val="36"/>
        </w:numPr>
        <w:ind w:left="1961"/>
        <w:rPr>
          <w:rFonts w:hint="eastAsia"/>
        </w:rPr>
      </w:pPr>
      <w:r>
        <w:rPr>
          <w:rFonts w:hint="eastAsia"/>
        </w:rPr>
        <w:t>在服完兵役或在他们因生病被解除兵役的那一天后</w:t>
      </w:r>
      <w:r>
        <w:rPr>
          <w:rFonts w:hint="eastAsia"/>
        </w:rPr>
        <w:t>90</w:t>
      </w:r>
      <w:r>
        <w:rPr>
          <w:rFonts w:hint="eastAsia"/>
        </w:rPr>
        <w:t>天内登记，如果他们是在适当的学校完成教育后</w:t>
      </w:r>
      <w:r>
        <w:rPr>
          <w:rFonts w:hint="eastAsia"/>
        </w:rPr>
        <w:t>60</w:t>
      </w:r>
      <w:r>
        <w:rPr>
          <w:rFonts w:hint="eastAsia"/>
        </w:rPr>
        <w:t>天内入伍的；</w:t>
      </w:r>
    </w:p>
    <w:p w:rsidR="00000000" w:rsidRDefault="00000000">
      <w:pPr>
        <w:numPr>
          <w:ilvl w:val="0"/>
          <w:numId w:val="35"/>
        </w:numPr>
        <w:rPr>
          <w:rFonts w:hint="eastAsia"/>
        </w:rPr>
      </w:pPr>
      <w:r>
        <w:rPr>
          <w:rFonts w:hint="eastAsia"/>
        </w:rPr>
        <w:t>住在克罗地亚共和国、没有任何其他健康保险的年满</w:t>
      </w:r>
      <w:r>
        <w:rPr>
          <w:rFonts w:hint="eastAsia"/>
        </w:rPr>
        <w:t>18</w:t>
      </w:r>
      <w:r>
        <w:rPr>
          <w:rFonts w:hint="eastAsia"/>
        </w:rPr>
        <w:t>岁没有读完小学或在读完小学后未就业的人，如果在年满</w:t>
      </w:r>
      <w:r>
        <w:rPr>
          <w:rFonts w:hint="eastAsia"/>
        </w:rPr>
        <w:t>18</w:t>
      </w:r>
      <w:r>
        <w:rPr>
          <w:rFonts w:hint="eastAsia"/>
        </w:rPr>
        <w:t>岁或学年结束后</w:t>
      </w:r>
      <w:r>
        <w:rPr>
          <w:rFonts w:hint="eastAsia"/>
        </w:rPr>
        <w:t>30</w:t>
      </w:r>
      <w:r>
        <w:rPr>
          <w:rFonts w:hint="eastAsia"/>
        </w:rPr>
        <w:t>天内在职业介绍所登记；</w:t>
      </w:r>
    </w:p>
    <w:p w:rsidR="00000000" w:rsidRDefault="00000000">
      <w:pPr>
        <w:numPr>
          <w:ilvl w:val="0"/>
          <w:numId w:val="35"/>
        </w:numPr>
        <w:rPr>
          <w:rFonts w:hint="eastAsia"/>
        </w:rPr>
      </w:pPr>
      <w:r>
        <w:rPr>
          <w:rFonts w:hint="eastAsia"/>
        </w:rPr>
        <w:t>住在克罗地亚共和国、依照教育规章丧失小学生或正规学生身份或中断学业的人，在他们中断学业之日起一年内保留保健的权利，如果他们在中断学业之日起</w:t>
      </w:r>
      <w:r>
        <w:rPr>
          <w:rFonts w:hint="eastAsia"/>
        </w:rPr>
        <w:t>30</w:t>
      </w:r>
      <w:r>
        <w:rPr>
          <w:rFonts w:hint="eastAsia"/>
        </w:rPr>
        <w:t>天内在职业介绍所登记并且他们不能在任何其他基础上获得健康保险的权利；</w:t>
      </w:r>
    </w:p>
    <w:p w:rsidR="00000000" w:rsidRDefault="00000000">
      <w:pPr>
        <w:numPr>
          <w:ilvl w:val="0"/>
          <w:numId w:val="35"/>
        </w:numPr>
        <w:rPr>
          <w:rFonts w:hint="eastAsia"/>
        </w:rPr>
      </w:pPr>
      <w:r>
        <w:rPr>
          <w:rFonts w:hint="eastAsia"/>
        </w:rPr>
        <w:t>住在克罗地亚共和国、具有公认的战时、平时或平民战争伤残者地位或依照《军人和平民残废者保护法》具有家属残废养恤金受惠者地位的人，除非他们在其他基础上已有健康保险；</w:t>
      </w:r>
    </w:p>
    <w:p w:rsidR="00000000" w:rsidRDefault="00000000">
      <w:pPr>
        <w:numPr>
          <w:ilvl w:val="0"/>
          <w:numId w:val="35"/>
        </w:numPr>
        <w:rPr>
          <w:rFonts w:hint="eastAsia"/>
        </w:rPr>
      </w:pPr>
      <w:r>
        <w:rPr>
          <w:rFonts w:hint="eastAsia"/>
        </w:rPr>
        <w:t>在克罗地亚独立战争中打战的克罗地亚士兵，如果他们没有其他医疗保险；</w:t>
      </w:r>
    </w:p>
    <w:p w:rsidR="00000000" w:rsidRDefault="00000000">
      <w:pPr>
        <w:numPr>
          <w:ilvl w:val="0"/>
          <w:numId w:val="35"/>
        </w:numPr>
        <w:rPr>
          <w:rFonts w:hint="eastAsia"/>
        </w:rPr>
      </w:pPr>
      <w:r>
        <w:rPr>
          <w:rFonts w:hint="eastAsia"/>
        </w:rPr>
        <w:t>照顾和帮助一个在克罗地亚独立战争中</w:t>
      </w:r>
      <w:r>
        <w:rPr>
          <w:rFonts w:hint="eastAsia"/>
        </w:rPr>
        <w:t>100%</w:t>
      </w:r>
      <w:r>
        <w:rPr>
          <w:rFonts w:hint="eastAsia"/>
        </w:rPr>
        <w:t>残废的士兵的人，如果他们没有其他医疗保险；</w:t>
      </w:r>
    </w:p>
    <w:p w:rsidR="00000000" w:rsidRDefault="00000000">
      <w:pPr>
        <w:numPr>
          <w:ilvl w:val="0"/>
          <w:numId w:val="35"/>
        </w:numPr>
        <w:rPr>
          <w:rFonts w:hint="eastAsia"/>
        </w:rPr>
      </w:pPr>
      <w:r>
        <w:rPr>
          <w:rFonts w:hint="eastAsia"/>
        </w:rPr>
        <w:t>住在克罗地亚共和国、根据下列法律是保健受惠者的人：《战争中伤残的人和战死士兵的家属基本权利法》、《战争中伤残者的残废津贴和其他权利法》、《第二次世界大战的士兵保护法》、《保护法西斯恐怖的受害者和战争的平民受害者法》、《对第二次世界大战战士</w:t>
      </w:r>
      <w:r>
        <w:rPr>
          <w:rFonts w:hint="eastAsia"/>
        </w:rPr>
        <w:t>(</w:t>
      </w:r>
      <w:r>
        <w:rPr>
          <w:rFonts w:hint="eastAsia"/>
        </w:rPr>
        <w:t>抵抗运动</w:t>
      </w:r>
      <w:r>
        <w:rPr>
          <w:rFonts w:hint="eastAsia"/>
        </w:rPr>
        <w:t>)</w:t>
      </w:r>
      <w:r>
        <w:rPr>
          <w:rFonts w:hint="eastAsia"/>
        </w:rPr>
        <w:t>和战前革命者的特别货币补偿法》和《关于保护克罗地亚共和国保卫战争的受害者及其家属的法令》，如果他们没有其他医疗保险；</w:t>
      </w:r>
    </w:p>
    <w:p w:rsidR="00000000" w:rsidRDefault="00000000">
      <w:pPr>
        <w:numPr>
          <w:ilvl w:val="0"/>
          <w:numId w:val="35"/>
        </w:numPr>
        <w:rPr>
          <w:rFonts w:hint="eastAsia"/>
        </w:rPr>
      </w:pPr>
      <w:r>
        <w:rPr>
          <w:rFonts w:hint="eastAsia"/>
        </w:rPr>
        <w:t>住在克罗地亚共和国、属于克罗地亚共和国武装部队的人，如果他们没有在其他基础上的保险；</w:t>
      </w:r>
    </w:p>
    <w:p w:rsidR="00000000" w:rsidRDefault="00000000">
      <w:pPr>
        <w:numPr>
          <w:ilvl w:val="0"/>
          <w:numId w:val="35"/>
        </w:numPr>
        <w:rPr>
          <w:rFonts w:hint="eastAsia"/>
        </w:rPr>
      </w:pPr>
      <w:r>
        <w:rPr>
          <w:rFonts w:hint="eastAsia"/>
        </w:rPr>
        <w:t>因为公司派他们去培训、进一步培训或研究所学习而中断工作的人；</w:t>
      </w:r>
    </w:p>
    <w:p w:rsidR="00000000" w:rsidRDefault="00000000">
      <w:pPr>
        <w:numPr>
          <w:ilvl w:val="0"/>
          <w:numId w:val="35"/>
        </w:numPr>
        <w:rPr>
          <w:rFonts w:hint="eastAsia"/>
        </w:rPr>
      </w:pPr>
      <w:r>
        <w:rPr>
          <w:rFonts w:hint="eastAsia"/>
        </w:rPr>
        <w:t>在他们开始就业之前被一个公司用奖学金送到另一公司做实际工作以便获取某种专业资格或进一步培训的人；</w:t>
      </w:r>
    </w:p>
    <w:p w:rsidR="00000000" w:rsidRDefault="00000000">
      <w:pPr>
        <w:numPr>
          <w:ilvl w:val="0"/>
          <w:numId w:val="35"/>
        </w:numPr>
        <w:rPr>
          <w:rFonts w:hint="eastAsia"/>
        </w:rPr>
      </w:pPr>
      <w:r>
        <w:rPr>
          <w:rFonts w:hint="eastAsia"/>
        </w:rPr>
        <w:t>在国际技术、教育和文化合作范围内被派到国外的人。</w:t>
      </w:r>
    </w:p>
    <w:p w:rsidR="00000000" w:rsidRDefault="00000000">
      <w:pPr>
        <w:rPr>
          <w:rFonts w:hint="eastAsia"/>
        </w:rPr>
      </w:pPr>
      <w:r>
        <w:rPr>
          <w:rFonts w:hint="eastAsia"/>
        </w:rPr>
        <w:tab/>
        <w:t xml:space="preserve">186.  </w:t>
      </w:r>
      <w:r>
        <w:rPr>
          <w:rFonts w:hint="eastAsia"/>
        </w:rPr>
        <w:t>健康保险的被保险人家属也是义务被保险人：</w:t>
      </w:r>
    </w:p>
    <w:p w:rsidR="00000000" w:rsidRDefault="00000000">
      <w:pPr>
        <w:numPr>
          <w:ilvl w:val="0"/>
          <w:numId w:val="37"/>
        </w:numPr>
        <w:ind w:left="1507"/>
        <w:rPr>
          <w:rFonts w:hint="eastAsia"/>
        </w:rPr>
      </w:pPr>
      <w:r>
        <w:rPr>
          <w:rFonts w:hint="eastAsia"/>
        </w:rPr>
        <w:t>配偶</w:t>
      </w:r>
      <w:r>
        <w:rPr>
          <w:rFonts w:hint="eastAsia"/>
        </w:rPr>
        <w:t>(</w:t>
      </w:r>
      <w:r>
        <w:rPr>
          <w:rFonts w:hint="eastAsia"/>
        </w:rPr>
        <w:t>结婚的和普通法上的，根据婚姻和家庭关系条例</w:t>
      </w:r>
      <w:r>
        <w:rPr>
          <w:rFonts w:hint="eastAsia"/>
        </w:rPr>
        <w:t>)</w:t>
      </w:r>
      <w:r>
        <w:rPr>
          <w:rFonts w:hint="eastAsia"/>
        </w:rPr>
        <w:t>；</w:t>
      </w:r>
    </w:p>
    <w:p w:rsidR="00000000" w:rsidRDefault="00000000">
      <w:pPr>
        <w:numPr>
          <w:ilvl w:val="0"/>
          <w:numId w:val="37"/>
        </w:numPr>
        <w:ind w:left="1507"/>
        <w:rPr>
          <w:rFonts w:hint="eastAsia"/>
        </w:rPr>
      </w:pPr>
      <w:r>
        <w:rPr>
          <w:rFonts w:hint="eastAsia"/>
        </w:rPr>
        <w:t>子女</w:t>
      </w:r>
      <w:r>
        <w:rPr>
          <w:rFonts w:hint="eastAsia"/>
        </w:rPr>
        <w:t>(</w:t>
      </w:r>
      <w:r>
        <w:rPr>
          <w:rFonts w:hint="eastAsia"/>
        </w:rPr>
        <w:t>婚生的或非婚生的或领养的或继子女</w:t>
      </w:r>
      <w:r>
        <w:rPr>
          <w:rFonts w:hint="eastAsia"/>
        </w:rPr>
        <w:t>)</w:t>
      </w:r>
      <w:r>
        <w:rPr>
          <w:rFonts w:hint="eastAsia"/>
        </w:rPr>
        <w:t>和被保险人扶养的无父母孩子；</w:t>
      </w:r>
    </w:p>
    <w:p w:rsidR="00000000" w:rsidRDefault="00000000">
      <w:pPr>
        <w:numPr>
          <w:ilvl w:val="0"/>
          <w:numId w:val="37"/>
        </w:numPr>
        <w:ind w:left="1507"/>
        <w:rPr>
          <w:rFonts w:hint="eastAsia"/>
        </w:rPr>
      </w:pPr>
      <w:r>
        <w:rPr>
          <w:rFonts w:hint="eastAsia"/>
        </w:rPr>
        <w:t>父母</w:t>
      </w:r>
      <w:r>
        <w:rPr>
          <w:rFonts w:hint="eastAsia"/>
        </w:rPr>
        <w:t>(</w:t>
      </w:r>
      <w:r>
        <w:rPr>
          <w:rFonts w:hint="eastAsia"/>
        </w:rPr>
        <w:t>被保险人的父亲、母亲、继父、继母和义父母</w:t>
      </w:r>
      <w:r>
        <w:rPr>
          <w:rFonts w:hint="eastAsia"/>
        </w:rPr>
        <w:t>)</w:t>
      </w:r>
      <w:r>
        <w:rPr>
          <w:rFonts w:hint="eastAsia"/>
        </w:rPr>
        <w:t>，如果被保险人供养他们；</w:t>
      </w:r>
    </w:p>
    <w:p w:rsidR="00000000" w:rsidRDefault="00000000">
      <w:pPr>
        <w:numPr>
          <w:ilvl w:val="0"/>
          <w:numId w:val="37"/>
        </w:numPr>
        <w:ind w:left="1507"/>
      </w:pPr>
      <w:r>
        <w:rPr>
          <w:rFonts w:hint="eastAsia"/>
        </w:rPr>
        <w:t>孙子女、兄弟、姊妹、祖父和祖母，如果他们无能力过独立生活、没有财产并且由被保险人供养。</w:t>
      </w:r>
    </w:p>
    <w:p w:rsidR="00000000" w:rsidRDefault="00000000">
      <w:pPr>
        <w:rPr>
          <w:rFonts w:hint="eastAsia"/>
        </w:rPr>
      </w:pPr>
      <w:r>
        <w:rPr>
          <w:rFonts w:hint="eastAsia"/>
        </w:rPr>
        <w:tab/>
        <w:t xml:space="preserve">187.  </w:t>
      </w:r>
      <w:r>
        <w:rPr>
          <w:rFonts w:hint="eastAsia"/>
        </w:rPr>
        <w:t>符合下列某些情形的其他人也享有强制性健康保险：</w:t>
      </w:r>
    </w:p>
    <w:p w:rsidR="00000000" w:rsidRDefault="00000000">
      <w:pPr>
        <w:numPr>
          <w:ilvl w:val="0"/>
          <w:numId w:val="43"/>
        </w:numPr>
        <w:ind w:left="1560" w:hanging="240"/>
        <w:rPr>
          <w:rFonts w:hint="eastAsia"/>
        </w:rPr>
      </w:pPr>
      <w:r>
        <w:rPr>
          <w:rFonts w:hint="eastAsia"/>
        </w:rPr>
        <w:t>中学生或大专院校正规学生，只要他们是克罗地亚共和国公民并住在克罗地亚以及没有作为投保人家庭成员而享受健康保险；</w:t>
      </w:r>
    </w:p>
    <w:p w:rsidR="00000000" w:rsidRDefault="00000000">
      <w:pPr>
        <w:numPr>
          <w:ilvl w:val="0"/>
          <w:numId w:val="43"/>
        </w:numPr>
        <w:ind w:left="1560" w:hanging="240"/>
        <w:rPr>
          <w:rFonts w:hint="eastAsia"/>
        </w:rPr>
      </w:pPr>
      <w:r>
        <w:rPr>
          <w:rFonts w:hint="eastAsia"/>
        </w:rPr>
        <w:t>上述中学生和正规大学生家庭成员，如果他们无权根据一些其他条件享有健康保险；</w:t>
      </w:r>
    </w:p>
    <w:p w:rsidR="00000000" w:rsidRDefault="00000000">
      <w:pPr>
        <w:numPr>
          <w:ilvl w:val="0"/>
          <w:numId w:val="43"/>
        </w:numPr>
        <w:ind w:left="1560" w:hanging="240"/>
        <w:rPr>
          <w:rFonts w:hint="eastAsia"/>
        </w:rPr>
      </w:pPr>
      <w:r>
        <w:rPr>
          <w:rFonts w:hint="eastAsia"/>
        </w:rPr>
        <w:t>住在克罗地亚共和国的人，只要他们没有能力按社会福利条例独立生活和没有自我维持生活的收入而又得不到按一些其他条件提供的保健；</w:t>
      </w:r>
    </w:p>
    <w:p w:rsidR="00000000" w:rsidRDefault="00000000">
      <w:pPr>
        <w:numPr>
          <w:ilvl w:val="0"/>
          <w:numId w:val="43"/>
        </w:numPr>
        <w:rPr>
          <w:rFonts w:hint="eastAsia"/>
        </w:rPr>
      </w:pPr>
      <w:r>
        <w:rPr>
          <w:rFonts w:hint="eastAsia"/>
        </w:rPr>
        <w:t>住在克罗地亚共和国，经济上能自立的人，如果不能按一些其他条件获得医疗，有义务在为投保人家庭成员规定的程度内购买健康保险。</w:t>
      </w:r>
    </w:p>
    <w:p w:rsidR="00000000" w:rsidRDefault="00000000">
      <w:pPr>
        <w:rPr>
          <w:rFonts w:hint="eastAsia"/>
        </w:rPr>
      </w:pPr>
      <w:r>
        <w:rPr>
          <w:rFonts w:hint="eastAsia"/>
        </w:rPr>
        <w:tab/>
        <w:t xml:space="preserve">188.  </w:t>
      </w:r>
      <w:r>
        <w:rPr>
          <w:rFonts w:hint="eastAsia"/>
        </w:rPr>
        <w:t>下列人员也享有投保人所享范围内的保健保护权：</w:t>
      </w:r>
    </w:p>
    <w:p w:rsidR="00000000" w:rsidRDefault="00000000">
      <w:pPr>
        <w:numPr>
          <w:ilvl w:val="0"/>
          <w:numId w:val="44"/>
        </w:numPr>
        <w:ind w:left="1440"/>
        <w:rPr>
          <w:rFonts w:hint="eastAsia"/>
        </w:rPr>
      </w:pPr>
      <w:r>
        <w:rPr>
          <w:rFonts w:hint="eastAsia"/>
        </w:rPr>
        <w:t>在克罗地亚共和国参加有组织的公共工程工作的人；</w:t>
      </w:r>
    </w:p>
    <w:p w:rsidR="00000000" w:rsidRDefault="00000000">
      <w:pPr>
        <w:numPr>
          <w:ilvl w:val="0"/>
          <w:numId w:val="44"/>
        </w:numPr>
        <w:ind w:left="1440"/>
        <w:rPr>
          <w:rFonts w:hint="eastAsia"/>
        </w:rPr>
      </w:pPr>
      <w:r>
        <w:rPr>
          <w:rFonts w:hint="eastAsia"/>
        </w:rPr>
        <w:t>履行民防或监测和报警义务的人；</w:t>
      </w:r>
    </w:p>
    <w:p w:rsidR="00000000" w:rsidRDefault="00000000">
      <w:pPr>
        <w:numPr>
          <w:ilvl w:val="0"/>
          <w:numId w:val="44"/>
        </w:numPr>
        <w:ind w:left="1440"/>
        <w:rPr>
          <w:rFonts w:hint="eastAsia"/>
        </w:rPr>
      </w:pPr>
      <w:r>
        <w:rPr>
          <w:rFonts w:hint="eastAsia"/>
        </w:rPr>
        <w:t>作为志愿消防组织行动部门成员履行灭火、在发生其他灾难时提供保护和进行抢救、在有火灾危险场所进行消防准备和保护等义务和在公共节假日执行消防演习以便教育公众如何防火等义务的人；</w:t>
      </w:r>
    </w:p>
    <w:p w:rsidR="00000000" w:rsidRDefault="00000000">
      <w:pPr>
        <w:numPr>
          <w:ilvl w:val="0"/>
          <w:numId w:val="44"/>
        </w:numPr>
        <w:ind w:left="1440"/>
        <w:rPr>
          <w:rFonts w:hint="eastAsia"/>
        </w:rPr>
      </w:pPr>
      <w:r>
        <w:rPr>
          <w:rFonts w:hint="eastAsia"/>
        </w:rPr>
        <w:t>根据健康保险条例享受身体残疾经济补助的人，条件是他们无权享受基于其他任何条件的保健；他们只能要求与造成身体残疾并据此申请经济补助的伤害或疾病有关系的健康护理。</w:t>
      </w:r>
    </w:p>
    <w:p w:rsidR="00000000" w:rsidRDefault="00000000">
      <w:pPr>
        <w:rPr>
          <w:rFonts w:hint="eastAsia"/>
        </w:rPr>
      </w:pPr>
      <w:r>
        <w:rPr>
          <w:rFonts w:hint="eastAsia"/>
        </w:rPr>
        <w:tab/>
        <w:t xml:space="preserve">189.  </w:t>
      </w:r>
      <w:r>
        <w:rPr>
          <w:rFonts w:hint="eastAsia"/>
        </w:rPr>
        <w:t>下列人员有权享受因公受伤或职业病而提供给投保人的保健：</w:t>
      </w:r>
    </w:p>
    <w:p w:rsidR="00000000" w:rsidRDefault="00000000">
      <w:pPr>
        <w:numPr>
          <w:ilvl w:val="0"/>
          <w:numId w:val="45"/>
        </w:numPr>
        <w:ind w:left="1440"/>
        <w:rPr>
          <w:rFonts w:hint="eastAsia"/>
        </w:rPr>
      </w:pPr>
      <w:r>
        <w:rPr>
          <w:rFonts w:hint="eastAsia"/>
        </w:rPr>
        <w:t>参加实践课、实践活动和考察旅行的中学生和大学生；</w:t>
      </w:r>
    </w:p>
    <w:p w:rsidR="00000000" w:rsidRDefault="00000000">
      <w:pPr>
        <w:numPr>
          <w:ilvl w:val="0"/>
          <w:numId w:val="45"/>
        </w:numPr>
        <w:ind w:left="1440"/>
        <w:rPr>
          <w:rFonts w:hint="eastAsia"/>
        </w:rPr>
      </w:pPr>
      <w:r>
        <w:rPr>
          <w:rFonts w:hint="eastAsia"/>
        </w:rPr>
        <w:t>完成学业后从事实际工作的人，无论他们是否领取薪水；</w:t>
      </w:r>
    </w:p>
    <w:p w:rsidR="00000000" w:rsidRDefault="00000000">
      <w:pPr>
        <w:numPr>
          <w:ilvl w:val="0"/>
          <w:numId w:val="45"/>
        </w:numPr>
        <w:ind w:left="1440"/>
        <w:rPr>
          <w:rFonts w:hint="eastAsia"/>
        </w:rPr>
      </w:pPr>
      <w:r>
        <w:rPr>
          <w:rFonts w:hint="eastAsia"/>
        </w:rPr>
        <w:t>在培训机构上实践课或从事实际工作的身心残疾儿童和青年人；</w:t>
      </w:r>
    </w:p>
    <w:p w:rsidR="00000000" w:rsidRDefault="00000000">
      <w:pPr>
        <w:numPr>
          <w:ilvl w:val="0"/>
          <w:numId w:val="45"/>
        </w:numPr>
        <w:ind w:left="1440"/>
        <w:rPr>
          <w:rFonts w:hint="eastAsia"/>
        </w:rPr>
      </w:pPr>
      <w:r>
        <w:rPr>
          <w:rFonts w:hint="eastAsia"/>
        </w:rPr>
        <w:t>履行民防或监测和报警义务的人；</w:t>
      </w:r>
    </w:p>
    <w:p w:rsidR="00000000" w:rsidRDefault="00000000">
      <w:pPr>
        <w:numPr>
          <w:ilvl w:val="0"/>
          <w:numId w:val="45"/>
        </w:numPr>
        <w:ind w:left="1440"/>
        <w:rPr>
          <w:rFonts w:hint="eastAsia"/>
        </w:rPr>
      </w:pPr>
      <w:r>
        <w:rPr>
          <w:rFonts w:hint="eastAsia"/>
        </w:rPr>
        <w:t>根据职责帮助警察执行任务的人；</w:t>
      </w:r>
    </w:p>
    <w:p w:rsidR="00000000" w:rsidRDefault="00000000">
      <w:pPr>
        <w:numPr>
          <w:ilvl w:val="0"/>
          <w:numId w:val="45"/>
        </w:numPr>
        <w:ind w:left="1440"/>
        <w:rPr>
          <w:rFonts w:hint="eastAsia"/>
        </w:rPr>
      </w:pPr>
      <w:r>
        <w:rPr>
          <w:rFonts w:hint="eastAsia"/>
        </w:rPr>
        <w:t>参加有组织的公共工程、在发生自然灾害和其他灾难时进行救援和抢救活动的人；</w:t>
      </w:r>
    </w:p>
    <w:p w:rsidR="00000000" w:rsidRDefault="00000000">
      <w:pPr>
        <w:numPr>
          <w:ilvl w:val="0"/>
          <w:numId w:val="45"/>
        </w:numPr>
        <w:ind w:left="1440"/>
        <w:rPr>
          <w:rFonts w:hint="eastAsia"/>
        </w:rPr>
      </w:pPr>
      <w:r>
        <w:rPr>
          <w:rFonts w:hint="eastAsia"/>
        </w:rPr>
        <w:t>响应国家和其他授权机构的号召为克罗地亚共和国利益而履行义务的人；</w:t>
      </w:r>
    </w:p>
    <w:p w:rsidR="00000000" w:rsidRDefault="00000000">
      <w:pPr>
        <w:numPr>
          <w:ilvl w:val="0"/>
          <w:numId w:val="45"/>
        </w:numPr>
        <w:ind w:left="1440"/>
        <w:rPr>
          <w:rFonts w:hint="eastAsia"/>
        </w:rPr>
      </w:pPr>
      <w:r>
        <w:rPr>
          <w:rFonts w:hint="eastAsia"/>
        </w:rPr>
        <w:t>参加有组织的体育活动的运动员、教练和组织者或参加运动会的人；</w:t>
      </w:r>
    </w:p>
    <w:p w:rsidR="00000000" w:rsidRDefault="00000000">
      <w:pPr>
        <w:numPr>
          <w:ilvl w:val="0"/>
          <w:numId w:val="45"/>
        </w:numPr>
        <w:ind w:left="1440"/>
        <w:rPr>
          <w:rFonts w:hint="eastAsia"/>
        </w:rPr>
      </w:pPr>
      <w:r>
        <w:rPr>
          <w:rFonts w:hint="eastAsia"/>
        </w:rPr>
        <w:t>作为山区救援队成员或潜水员抢救生命或消除直接威胁国民生命和财产的危险的人；</w:t>
      </w:r>
    </w:p>
    <w:p w:rsidR="00000000" w:rsidRDefault="00000000">
      <w:pPr>
        <w:numPr>
          <w:ilvl w:val="0"/>
          <w:numId w:val="45"/>
        </w:numPr>
        <w:ind w:left="1440"/>
        <w:rPr>
          <w:rFonts w:hint="eastAsia"/>
        </w:rPr>
      </w:pPr>
      <w:r>
        <w:rPr>
          <w:rFonts w:hint="eastAsia"/>
        </w:rPr>
        <w:t>作为外地组织成员在发生自然灾害和其他灾难时</w:t>
      </w:r>
      <w:r>
        <w:rPr>
          <w:rFonts w:hint="eastAsia"/>
        </w:rPr>
        <w:t>(</w:t>
      </w:r>
      <w:r>
        <w:rPr>
          <w:rFonts w:hint="eastAsia"/>
        </w:rPr>
        <w:t>洪水、地震、地雷事故等</w:t>
      </w:r>
      <w:r>
        <w:rPr>
          <w:rFonts w:hint="eastAsia"/>
        </w:rPr>
        <w:t>)</w:t>
      </w:r>
      <w:r>
        <w:rPr>
          <w:rFonts w:hint="eastAsia"/>
        </w:rPr>
        <w:t>参加救援工作和健康保护的人员。</w:t>
      </w:r>
    </w:p>
    <w:p w:rsidR="00000000" w:rsidRDefault="00000000">
      <w:pPr>
        <w:rPr>
          <w:rFonts w:hint="eastAsia"/>
        </w:rPr>
      </w:pPr>
      <w:r>
        <w:rPr>
          <w:rFonts w:hint="eastAsia"/>
        </w:rPr>
        <w:tab/>
        <w:t xml:space="preserve">190.  </w:t>
      </w:r>
      <w:r>
        <w:rPr>
          <w:rFonts w:hint="eastAsia"/>
        </w:rPr>
        <w:t>投保人在义务保健方案范围内有权享受保健；病假期间工资补偿；有权报销与使用全套设备健康护理有关的旅费；丧葬费津贴。</w:t>
      </w:r>
    </w:p>
    <w:p w:rsidR="00000000" w:rsidRDefault="00000000">
      <w:pPr>
        <w:rPr>
          <w:rFonts w:hint="eastAsia"/>
        </w:rPr>
      </w:pPr>
      <w:r>
        <w:rPr>
          <w:rFonts w:hint="eastAsia"/>
        </w:rPr>
        <w:tab/>
        <w:t xml:space="preserve">191.  </w:t>
      </w:r>
      <w:r>
        <w:rPr>
          <w:rFonts w:hint="eastAsia"/>
        </w:rPr>
        <w:t>根据健康保险法第</w:t>
      </w:r>
      <w:r>
        <w:rPr>
          <w:rFonts w:hint="eastAsia"/>
        </w:rPr>
        <w:t>41</w:t>
      </w:r>
      <w:r>
        <w:rPr>
          <w:rFonts w:hint="eastAsia"/>
        </w:rPr>
        <w:t>条，强制健康保险的资源来自下列方面：</w:t>
      </w:r>
    </w:p>
    <w:p w:rsidR="00000000" w:rsidRDefault="00000000">
      <w:pPr>
        <w:numPr>
          <w:ilvl w:val="0"/>
          <w:numId w:val="46"/>
        </w:numPr>
        <w:ind w:left="1440"/>
        <w:rPr>
          <w:rFonts w:hint="eastAsia"/>
        </w:rPr>
      </w:pPr>
      <w:r>
        <w:rPr>
          <w:rFonts w:hint="eastAsia"/>
        </w:rPr>
        <w:t>法人或私人所雇工人“按照工资比例”或“从工资中扣除”的缴款；</w:t>
      </w:r>
    </w:p>
    <w:p w:rsidR="00000000" w:rsidRDefault="00000000">
      <w:pPr>
        <w:numPr>
          <w:ilvl w:val="0"/>
          <w:numId w:val="46"/>
        </w:numPr>
        <w:ind w:left="1440"/>
        <w:rPr>
          <w:rFonts w:hint="eastAsia"/>
        </w:rPr>
      </w:pPr>
      <w:r>
        <w:rPr>
          <w:rFonts w:hint="eastAsia"/>
        </w:rPr>
        <w:t>个人自己从事一些商业或非商业活动的人“按照收入比例”和“从收入中扣除”的缴款，这些缴款按照克罗地亚国家议会特别法律规定的统一比例支付；</w:t>
      </w:r>
    </w:p>
    <w:p w:rsidR="00000000" w:rsidRDefault="00000000">
      <w:pPr>
        <w:numPr>
          <w:ilvl w:val="0"/>
          <w:numId w:val="46"/>
        </w:numPr>
        <w:ind w:left="1440"/>
        <w:rPr>
          <w:rFonts w:hint="eastAsia"/>
        </w:rPr>
      </w:pPr>
      <w:r>
        <w:rPr>
          <w:rFonts w:hint="eastAsia"/>
        </w:rPr>
        <w:t>自己缴费的人的缴款</w:t>
      </w:r>
      <w:r>
        <w:rPr>
          <w:rFonts w:hint="eastAsia"/>
        </w:rPr>
        <w:t>(</w:t>
      </w:r>
      <w:r>
        <w:rPr>
          <w:rFonts w:hint="eastAsia"/>
        </w:rPr>
        <w:t>这种缴款按照机构确立的比例、基数和方式支付</w:t>
      </w:r>
      <w:r>
        <w:rPr>
          <w:rFonts w:hint="eastAsia"/>
        </w:rPr>
        <w:t>)</w:t>
      </w:r>
      <w:r>
        <w:rPr>
          <w:rFonts w:hint="eastAsia"/>
        </w:rPr>
        <w:t>；</w:t>
      </w:r>
    </w:p>
    <w:p w:rsidR="00000000" w:rsidRDefault="00000000">
      <w:pPr>
        <w:numPr>
          <w:ilvl w:val="0"/>
          <w:numId w:val="46"/>
        </w:numPr>
        <w:ind w:left="1440"/>
        <w:rPr>
          <w:rFonts w:hint="eastAsia"/>
        </w:rPr>
      </w:pPr>
      <w:r>
        <w:rPr>
          <w:rFonts w:hint="eastAsia"/>
        </w:rPr>
        <w:t>小规模农民的缴款</w:t>
      </w:r>
      <w:r>
        <w:rPr>
          <w:rFonts w:hint="eastAsia"/>
        </w:rPr>
        <w:t>(</w:t>
      </w:r>
      <w:r>
        <w:rPr>
          <w:rFonts w:hint="eastAsia"/>
        </w:rPr>
        <w:t>这种缴款按照克罗地亚国家议会特别法规定的统一比例支付</w:t>
      </w:r>
      <w:r>
        <w:rPr>
          <w:rFonts w:hint="eastAsia"/>
        </w:rPr>
        <w:t>)</w:t>
      </w:r>
      <w:r>
        <w:rPr>
          <w:rFonts w:hint="eastAsia"/>
        </w:rPr>
        <w:t>；</w:t>
      </w:r>
    </w:p>
    <w:p w:rsidR="00000000" w:rsidRDefault="00000000">
      <w:pPr>
        <w:numPr>
          <w:ilvl w:val="0"/>
          <w:numId w:val="46"/>
        </w:numPr>
        <w:ind w:left="1440"/>
        <w:rPr>
          <w:rFonts w:hint="eastAsia"/>
        </w:rPr>
      </w:pPr>
      <w:r>
        <w:rPr>
          <w:rFonts w:hint="eastAsia"/>
        </w:rPr>
        <w:t>为在国外享受保健的额外缴款</w:t>
      </w:r>
      <w:r>
        <w:rPr>
          <w:rFonts w:hint="eastAsia"/>
        </w:rPr>
        <w:t>(</w:t>
      </w:r>
      <w:r>
        <w:rPr>
          <w:rFonts w:hint="eastAsia"/>
        </w:rPr>
        <w:t>这笔缴款支付的方式和数额由机构决定</w:t>
      </w:r>
      <w:r>
        <w:rPr>
          <w:rFonts w:hint="eastAsia"/>
        </w:rPr>
        <w:t>)</w:t>
      </w:r>
      <w:r>
        <w:rPr>
          <w:rFonts w:hint="eastAsia"/>
        </w:rPr>
        <w:t>；</w:t>
      </w:r>
    </w:p>
    <w:p w:rsidR="00000000" w:rsidRDefault="00000000">
      <w:pPr>
        <w:numPr>
          <w:ilvl w:val="0"/>
          <w:numId w:val="46"/>
        </w:numPr>
        <w:ind w:left="1440"/>
        <w:rPr>
          <w:rFonts w:hint="eastAsia"/>
        </w:rPr>
      </w:pPr>
      <w:r>
        <w:rPr>
          <w:rFonts w:hint="eastAsia"/>
        </w:rPr>
        <w:t>国家预算提供的数额，支付克罗地亚共和国、一个县或萨格勒布市的义务所引起的费用</w:t>
      </w:r>
      <w:r>
        <w:rPr>
          <w:rFonts w:hint="eastAsia"/>
        </w:rPr>
        <w:t>(</w:t>
      </w:r>
      <w:r>
        <w:rPr>
          <w:rFonts w:hint="eastAsia"/>
        </w:rPr>
        <w:t>这些资金由卫生部依据执行人员保护某些方案或实现健康保险产生的权利的实际费用支付，费用原始单据交应付机构，在属于该法第</w:t>
      </w:r>
      <w:r>
        <w:rPr>
          <w:rFonts w:hint="eastAsia"/>
        </w:rPr>
        <w:t>5</w:t>
      </w:r>
      <w:r>
        <w:rPr>
          <w:rFonts w:hint="eastAsia"/>
        </w:rPr>
        <w:t>条第</w:t>
      </w:r>
      <w:r>
        <w:rPr>
          <w:rFonts w:hint="eastAsia"/>
        </w:rPr>
        <w:t>11</w:t>
      </w:r>
      <w:r>
        <w:rPr>
          <w:rFonts w:hint="eastAsia"/>
        </w:rPr>
        <w:t>、第</w:t>
      </w:r>
      <w:r>
        <w:rPr>
          <w:rFonts w:hint="eastAsia"/>
        </w:rPr>
        <w:t>12</w:t>
      </w:r>
      <w:r>
        <w:rPr>
          <w:rFonts w:hint="eastAsia"/>
        </w:rPr>
        <w:t>和第</w:t>
      </w:r>
      <w:r>
        <w:rPr>
          <w:rFonts w:hint="eastAsia"/>
        </w:rPr>
        <w:t>13</w:t>
      </w:r>
      <w:r>
        <w:rPr>
          <w:rFonts w:hint="eastAsia"/>
        </w:rPr>
        <w:t>项界定的情况，则依据克罗地亚共和国政府和卫生部的建议，经财政部同意而规定的缴款数额支付</w:t>
      </w:r>
      <w:r>
        <w:rPr>
          <w:rFonts w:hint="eastAsia"/>
        </w:rPr>
        <w:t>)</w:t>
      </w:r>
      <w:r>
        <w:rPr>
          <w:rFonts w:hint="eastAsia"/>
        </w:rPr>
        <w:t>；</w:t>
      </w:r>
    </w:p>
    <w:p w:rsidR="00000000" w:rsidRDefault="00000000">
      <w:pPr>
        <w:numPr>
          <w:ilvl w:val="0"/>
          <w:numId w:val="46"/>
        </w:numPr>
        <w:ind w:left="1440"/>
        <w:rPr>
          <w:rFonts w:hint="eastAsia"/>
        </w:rPr>
      </w:pPr>
      <w:r>
        <w:rPr>
          <w:rFonts w:hint="eastAsia"/>
        </w:rPr>
        <w:t>投保人承担保健费用的一部分；</w:t>
      </w:r>
    </w:p>
    <w:p w:rsidR="00000000" w:rsidRDefault="00000000">
      <w:pPr>
        <w:numPr>
          <w:ilvl w:val="0"/>
          <w:numId w:val="46"/>
        </w:numPr>
        <w:ind w:left="1440"/>
        <w:rPr>
          <w:rFonts w:hint="eastAsia"/>
        </w:rPr>
      </w:pPr>
      <w:r>
        <w:rPr>
          <w:rFonts w:hint="eastAsia"/>
        </w:rPr>
        <w:t>利息、股息和类似收入。</w:t>
      </w:r>
    </w:p>
    <w:p w:rsidR="00000000" w:rsidRDefault="00000000">
      <w:pPr>
        <w:rPr>
          <w:rFonts w:hint="eastAsia"/>
        </w:rPr>
      </w:pPr>
      <w:r>
        <w:rPr>
          <w:rFonts w:hint="eastAsia"/>
        </w:rPr>
        <w:tab/>
        <w:t xml:space="preserve">192.  </w:t>
      </w:r>
      <w:r>
        <w:rPr>
          <w:rFonts w:hint="eastAsia"/>
        </w:rPr>
        <w:t>根据健康保险缴款比例法，应支付健康保险法确定的健康保险缴款者从</w:t>
      </w:r>
      <w:r>
        <w:rPr>
          <w:rFonts w:hint="eastAsia"/>
        </w:rPr>
        <w:t>1998</w:t>
      </w:r>
      <w:r>
        <w:rPr>
          <w:rFonts w:hint="eastAsia"/>
        </w:rPr>
        <w:t>年</w:t>
      </w:r>
      <w:r>
        <w:rPr>
          <w:rFonts w:hint="eastAsia"/>
        </w:rPr>
        <w:t>2</w:t>
      </w:r>
      <w:r>
        <w:rPr>
          <w:rFonts w:hint="eastAsia"/>
        </w:rPr>
        <w:t>月</w:t>
      </w:r>
      <w:r>
        <w:rPr>
          <w:rFonts w:hint="eastAsia"/>
        </w:rPr>
        <w:t>1</w:t>
      </w:r>
      <w:r>
        <w:rPr>
          <w:rFonts w:hint="eastAsia"/>
        </w:rPr>
        <w:t>日起应支付：</w:t>
      </w:r>
    </w:p>
    <w:p w:rsidR="00000000" w:rsidRDefault="00000000">
      <w:pPr>
        <w:numPr>
          <w:ilvl w:val="0"/>
          <w:numId w:val="47"/>
        </w:numPr>
        <w:ind w:left="1440"/>
        <w:rPr>
          <w:rFonts w:hint="eastAsia"/>
        </w:rPr>
      </w:pPr>
      <w:r>
        <w:rPr>
          <w:rFonts w:hint="eastAsia"/>
        </w:rPr>
        <w:t>从工资中扣除</w:t>
      </w:r>
      <w:r>
        <w:rPr>
          <w:rFonts w:hint="eastAsia"/>
        </w:rPr>
        <w:t>9%</w:t>
      </w:r>
      <w:r>
        <w:rPr>
          <w:rFonts w:hint="eastAsia"/>
        </w:rPr>
        <w:t>的缴款；</w:t>
      </w:r>
    </w:p>
    <w:p w:rsidR="00000000" w:rsidRDefault="00000000">
      <w:pPr>
        <w:numPr>
          <w:ilvl w:val="0"/>
          <w:numId w:val="47"/>
        </w:numPr>
        <w:ind w:left="1440"/>
        <w:rPr>
          <w:rFonts w:hint="eastAsia"/>
        </w:rPr>
      </w:pPr>
      <w:r>
        <w:rPr>
          <w:rFonts w:hint="eastAsia"/>
        </w:rPr>
        <w:t>按照工资的</w:t>
      </w:r>
      <w:r>
        <w:rPr>
          <w:rFonts w:hint="eastAsia"/>
        </w:rPr>
        <w:t>9%</w:t>
      </w:r>
      <w:r>
        <w:rPr>
          <w:rFonts w:hint="eastAsia"/>
        </w:rPr>
        <w:t>支付的缴款；</w:t>
      </w:r>
    </w:p>
    <w:p w:rsidR="00000000" w:rsidRDefault="00000000">
      <w:pPr>
        <w:numPr>
          <w:ilvl w:val="0"/>
          <w:numId w:val="47"/>
        </w:numPr>
        <w:ind w:left="1440"/>
        <w:rPr>
          <w:rFonts w:hint="eastAsia"/>
        </w:rPr>
      </w:pPr>
      <w:r>
        <w:rPr>
          <w:rFonts w:hint="eastAsia"/>
        </w:rPr>
        <w:t>从农民收入中扣除</w:t>
      </w:r>
      <w:r>
        <w:rPr>
          <w:rFonts w:hint="eastAsia"/>
        </w:rPr>
        <w:t>11%</w:t>
      </w:r>
      <w:r>
        <w:rPr>
          <w:rFonts w:hint="eastAsia"/>
        </w:rPr>
        <w:t>的缴款。</w:t>
      </w:r>
    </w:p>
    <w:p w:rsidR="00000000" w:rsidRDefault="00000000">
      <w:pPr>
        <w:rPr>
          <w:rFonts w:hint="eastAsia"/>
        </w:rPr>
      </w:pPr>
      <w:r>
        <w:rPr>
          <w:rFonts w:hint="eastAsia"/>
        </w:rPr>
        <w:tab/>
        <w:t xml:space="preserve">193.  </w:t>
      </w:r>
      <w:r>
        <w:rPr>
          <w:rFonts w:hint="eastAsia"/>
        </w:rPr>
        <w:t>公司、机构和其他法人和自然人在所雇人员因公残疾的情况或在他们专业再恢复期间，必须支付它们保健费的</w:t>
      </w:r>
      <w:r>
        <w:rPr>
          <w:rFonts w:hint="eastAsia"/>
        </w:rPr>
        <w:t>50%</w:t>
      </w:r>
      <w:r>
        <w:rPr>
          <w:rFonts w:hint="eastAsia"/>
        </w:rPr>
        <w:t>，即规定的按工资比例应缴额的</w:t>
      </w:r>
      <w:r>
        <w:rPr>
          <w:rFonts w:hint="eastAsia"/>
        </w:rPr>
        <w:t>50%</w:t>
      </w:r>
      <w:r>
        <w:rPr>
          <w:rFonts w:hint="eastAsia"/>
        </w:rPr>
        <w:t>。公司、机构或其他法人和自然人须为其雇用的因战争成为残疾的人和参过加克罗地亚独立战争的士兵支付</w:t>
      </w:r>
      <w:r>
        <w:rPr>
          <w:rFonts w:hint="eastAsia"/>
        </w:rPr>
        <w:t>50%</w:t>
      </w:r>
      <w:r>
        <w:rPr>
          <w:rFonts w:hint="eastAsia"/>
        </w:rPr>
        <w:t>的保健费，即按规定比例从工资中扣除的保健费部分的</w:t>
      </w:r>
      <w:r>
        <w:rPr>
          <w:rFonts w:hint="eastAsia"/>
        </w:rPr>
        <w:t>50%</w:t>
      </w:r>
      <w:r>
        <w:rPr>
          <w:rFonts w:hint="eastAsia"/>
        </w:rPr>
        <w:t>，而以工资为基础的应缴部分则全部免除。</w:t>
      </w:r>
    </w:p>
    <w:p w:rsidR="00000000" w:rsidRDefault="00000000">
      <w:pPr>
        <w:rPr>
          <w:rFonts w:hint="eastAsia"/>
        </w:rPr>
      </w:pPr>
      <w:r>
        <w:rPr>
          <w:rFonts w:hint="eastAsia"/>
        </w:rPr>
        <w:tab/>
        <w:t xml:space="preserve">194.  </w:t>
      </w:r>
      <w:r>
        <w:rPr>
          <w:rFonts w:hint="eastAsia"/>
        </w:rPr>
        <w:t>自愿健康保险属附加和私人性质。</w:t>
      </w:r>
    </w:p>
    <w:p w:rsidR="00000000" w:rsidRDefault="00000000">
      <w:pPr>
        <w:rPr>
          <w:rFonts w:hint="eastAsia"/>
        </w:rPr>
      </w:pPr>
      <w:r>
        <w:rPr>
          <w:rFonts w:hint="eastAsia"/>
        </w:rPr>
        <w:tab/>
        <w:t xml:space="preserve">195.  </w:t>
      </w:r>
      <w:r>
        <w:rPr>
          <w:rFonts w:hint="eastAsia"/>
        </w:rPr>
        <w:t>额外健康保险由保险公司与投保人之间签订合同确定或由投保人与保健机构之间直接确定，而私人健康保险则解决投保人的全部保健问题并由保险公司与投保人之间签订个人合同确立。投保人一旦加入私人保险计划就失去利用义务健康保险的权利。投保人可依据卫生部确定的收入测试条件获得私人保险。卫生部长还决定进行额外和私人健康保险的条件和方式。</w:t>
      </w:r>
    </w:p>
    <w:p w:rsidR="00000000" w:rsidRDefault="00000000">
      <w:pPr>
        <w:spacing w:after="320"/>
        <w:rPr>
          <w:rFonts w:hint="eastAsia"/>
        </w:rPr>
      </w:pPr>
      <w:r>
        <w:rPr>
          <w:rFonts w:hint="eastAsia"/>
        </w:rPr>
        <w:tab/>
        <w:t xml:space="preserve">196.  </w:t>
      </w:r>
      <w:r>
        <w:rPr>
          <w:rFonts w:hint="eastAsia"/>
        </w:rPr>
        <w:t>鉴于克罗地亚共和国养恤金和残疾人保险制度进行了全面改革，在本文件附件中我们对新制度进行扼要审查。</w:t>
      </w:r>
    </w:p>
    <w:p w:rsidR="00000000" w:rsidRDefault="00000000">
      <w:pPr>
        <w:pStyle w:val="Heading4"/>
        <w:rPr>
          <w:rFonts w:hint="eastAsia"/>
        </w:rPr>
      </w:pPr>
      <w:r>
        <w:rPr>
          <w:rFonts w:hint="eastAsia"/>
        </w:rPr>
        <w:t>失业津贴</w:t>
      </w:r>
    </w:p>
    <w:p w:rsidR="00000000" w:rsidRDefault="00000000">
      <w:pPr>
        <w:rPr>
          <w:rFonts w:hint="eastAsia"/>
        </w:rPr>
      </w:pPr>
      <w:r>
        <w:rPr>
          <w:rFonts w:hint="eastAsia"/>
        </w:rPr>
        <w:tab/>
        <w:t xml:space="preserve">197.  </w:t>
      </w:r>
      <w:r>
        <w:rPr>
          <w:rFonts w:hint="eastAsia"/>
        </w:rPr>
        <w:t>根据就业法，失业者指属于下列情形的人：有能力工作、年龄在</w:t>
      </w:r>
      <w:r>
        <w:rPr>
          <w:rFonts w:hint="eastAsia"/>
        </w:rPr>
        <w:t>15</w:t>
      </w:r>
      <w:r>
        <w:rPr>
          <w:rFonts w:hint="eastAsia"/>
        </w:rPr>
        <w:t>和</w:t>
      </w:r>
      <w:r>
        <w:rPr>
          <w:rFonts w:hint="eastAsia"/>
        </w:rPr>
        <w:t>65</w:t>
      </w:r>
      <w:r>
        <w:rPr>
          <w:rFonts w:hint="eastAsia"/>
        </w:rPr>
        <w:t>岁之间、在就业办事处登记为寻求工作者并定期到该办事处报到、没有受雇用、不是某一公司或一些其他法律实体的所有人或份额占</w:t>
      </w:r>
      <w:r>
        <w:rPr>
          <w:rFonts w:hint="eastAsia"/>
        </w:rPr>
        <w:t>51%</w:t>
      </w:r>
      <w:r>
        <w:rPr>
          <w:rFonts w:hint="eastAsia"/>
        </w:rPr>
        <w:t>以上的多数共同所有人、无自营职业、不是农场企业的所有人或份额占</w:t>
      </w:r>
      <w:r>
        <w:rPr>
          <w:rFonts w:hint="eastAsia"/>
        </w:rPr>
        <w:t>51%</w:t>
      </w:r>
      <w:r>
        <w:rPr>
          <w:rFonts w:hint="eastAsia"/>
        </w:rPr>
        <w:t>以上的多数共同所有人、也不是正规的学生或养恤金领取者。</w:t>
      </w:r>
    </w:p>
    <w:p w:rsidR="00000000" w:rsidRDefault="00000000">
      <w:pPr>
        <w:rPr>
          <w:rFonts w:hint="eastAsia"/>
        </w:rPr>
      </w:pPr>
      <w:r>
        <w:rPr>
          <w:rFonts w:hint="eastAsia"/>
        </w:rPr>
        <w:tab/>
        <w:t xml:space="preserve">198.  </w:t>
      </w:r>
      <w:r>
        <w:rPr>
          <w:rFonts w:hint="eastAsia"/>
        </w:rPr>
        <w:t>根据就业法第</w:t>
      </w:r>
      <w:r>
        <w:rPr>
          <w:rFonts w:hint="eastAsia"/>
        </w:rPr>
        <w:t>17</w:t>
      </w:r>
      <w:r>
        <w:rPr>
          <w:rFonts w:hint="eastAsia"/>
        </w:rPr>
        <w:t>条，失业者如果在失业时已连续工作</w:t>
      </w:r>
      <w:r>
        <w:rPr>
          <w:rFonts w:hint="eastAsia"/>
        </w:rPr>
        <w:t>9</w:t>
      </w:r>
      <w:r>
        <w:rPr>
          <w:rFonts w:hint="eastAsia"/>
        </w:rPr>
        <w:t>个月或在过去</w:t>
      </w:r>
      <w:r>
        <w:rPr>
          <w:rFonts w:hint="eastAsia"/>
        </w:rPr>
        <w:t>18</w:t>
      </w:r>
      <w:r>
        <w:rPr>
          <w:rFonts w:hint="eastAsia"/>
        </w:rPr>
        <w:t>个月里连续工作了</w:t>
      </w:r>
      <w:r>
        <w:rPr>
          <w:rFonts w:hint="eastAsia"/>
        </w:rPr>
        <w:t>12</w:t>
      </w:r>
      <w:r>
        <w:rPr>
          <w:rFonts w:hint="eastAsia"/>
        </w:rPr>
        <w:t>个月的可申请失业津贴。</w:t>
      </w:r>
    </w:p>
    <w:p w:rsidR="00000000" w:rsidRDefault="00000000">
      <w:pPr>
        <w:rPr>
          <w:rFonts w:hint="eastAsia"/>
        </w:rPr>
      </w:pPr>
      <w:r>
        <w:rPr>
          <w:rFonts w:hint="eastAsia"/>
        </w:rPr>
        <w:tab/>
        <w:t xml:space="preserve">199.  </w:t>
      </w:r>
      <w:r>
        <w:rPr>
          <w:rFonts w:hint="eastAsia"/>
        </w:rPr>
        <w:t>在确定是否有权领取现金津贴时，</w:t>
      </w:r>
      <w:r>
        <w:rPr>
          <w:rFonts w:hint="eastAsia"/>
        </w:rPr>
        <w:t>1</w:t>
      </w:r>
      <w:r>
        <w:rPr>
          <w:rFonts w:hint="eastAsia"/>
        </w:rPr>
        <w:t>年的工作指</w:t>
      </w:r>
      <w:r>
        <w:rPr>
          <w:rFonts w:hint="eastAsia"/>
        </w:rPr>
        <w:t>12</w:t>
      </w:r>
      <w:r>
        <w:rPr>
          <w:rFonts w:hint="eastAsia"/>
        </w:rPr>
        <w:t>个月时间；少于全时的工作按全时工作时间计算。</w:t>
      </w:r>
    </w:p>
    <w:p w:rsidR="00000000" w:rsidRDefault="00000000">
      <w:pPr>
        <w:rPr>
          <w:rFonts w:hint="eastAsia"/>
        </w:rPr>
      </w:pPr>
      <w:r>
        <w:rPr>
          <w:rFonts w:hint="eastAsia"/>
        </w:rPr>
        <w:tab/>
        <w:t xml:space="preserve">200.  </w:t>
      </w:r>
      <w:r>
        <w:rPr>
          <w:rFonts w:hint="eastAsia"/>
        </w:rPr>
        <w:t>失业者如在失业或中止服务或按健康保险规则暂时丧失工作能力的</w:t>
      </w:r>
      <w:r>
        <w:rPr>
          <w:rFonts w:hint="eastAsia"/>
        </w:rPr>
        <w:t>30</w:t>
      </w:r>
      <w:r>
        <w:rPr>
          <w:rFonts w:hint="eastAsia"/>
        </w:rPr>
        <w:t>天内向就业办事处登记并提出申请，有权获得现金津贴。</w:t>
      </w:r>
    </w:p>
    <w:p w:rsidR="00000000" w:rsidRDefault="00000000">
      <w:pPr>
        <w:rPr>
          <w:rFonts w:hint="eastAsia"/>
        </w:rPr>
      </w:pPr>
      <w:r>
        <w:rPr>
          <w:rFonts w:hint="eastAsia"/>
        </w:rPr>
        <w:tab/>
        <w:t xml:space="preserve">201.  </w:t>
      </w:r>
      <w:r>
        <w:rPr>
          <w:rFonts w:hint="eastAsia"/>
        </w:rPr>
        <w:t>失业者如果有正当理由未能在适当时期内登记，可在造成延误该日期的理由不复存在的</w:t>
      </w:r>
      <w:r>
        <w:rPr>
          <w:rFonts w:hint="eastAsia"/>
        </w:rPr>
        <w:t>8</w:t>
      </w:r>
      <w:r>
        <w:rPr>
          <w:rFonts w:hint="eastAsia"/>
        </w:rPr>
        <w:t>天内向就业办事处登记和申请，但最长不超过失业之日起的</w:t>
      </w:r>
      <w:r>
        <w:rPr>
          <w:rFonts w:hint="eastAsia"/>
        </w:rPr>
        <w:t>3</w:t>
      </w:r>
      <w:r>
        <w:rPr>
          <w:rFonts w:hint="eastAsia"/>
        </w:rPr>
        <w:t>个月。</w:t>
      </w:r>
    </w:p>
    <w:p w:rsidR="00000000" w:rsidRDefault="00000000">
      <w:pPr>
        <w:rPr>
          <w:rFonts w:hint="eastAsia"/>
        </w:rPr>
      </w:pPr>
      <w:r>
        <w:rPr>
          <w:rFonts w:hint="eastAsia"/>
        </w:rPr>
        <w:tab/>
        <w:t xml:space="preserve">202.  </w:t>
      </w:r>
      <w:r>
        <w:rPr>
          <w:rFonts w:hint="eastAsia"/>
        </w:rPr>
        <w:t>在特殊情况下，任何妇女在失业或中止服务时如育有未满</w:t>
      </w:r>
      <w:r>
        <w:rPr>
          <w:rFonts w:hint="eastAsia"/>
        </w:rPr>
        <w:t>1</w:t>
      </w:r>
      <w:r>
        <w:rPr>
          <w:rFonts w:hint="eastAsia"/>
        </w:rPr>
        <w:t>岁的子女或双胞胎、年龄未到</w:t>
      </w:r>
      <w:r>
        <w:rPr>
          <w:rFonts w:hint="eastAsia"/>
        </w:rPr>
        <w:t>3</w:t>
      </w:r>
      <w:r>
        <w:rPr>
          <w:rFonts w:hint="eastAsia"/>
        </w:rPr>
        <w:t>岁的第</w:t>
      </w:r>
      <w:r>
        <w:rPr>
          <w:rFonts w:hint="eastAsia"/>
        </w:rPr>
        <w:t>3</w:t>
      </w:r>
      <w:r>
        <w:rPr>
          <w:rFonts w:hint="eastAsia"/>
        </w:rPr>
        <w:t>个孩子，和随后每生一个孩子，有权申请现金津贴和退休保险与残疾人保险，享受期限至少为</w:t>
      </w:r>
      <w:r>
        <w:rPr>
          <w:rFonts w:hint="eastAsia"/>
        </w:rPr>
        <w:t>78</w:t>
      </w:r>
      <w:r>
        <w:rPr>
          <w:rFonts w:hint="eastAsia"/>
        </w:rPr>
        <w:t>天，在一个孩子的情况，最长不超过其第</w:t>
      </w:r>
      <w:r>
        <w:rPr>
          <w:rFonts w:hint="eastAsia"/>
        </w:rPr>
        <w:t>1</w:t>
      </w:r>
      <w:r>
        <w:rPr>
          <w:rFonts w:hint="eastAsia"/>
        </w:rPr>
        <w:t>个生日；在双胞胎、第</w:t>
      </w:r>
      <w:r>
        <w:rPr>
          <w:rFonts w:hint="eastAsia"/>
        </w:rPr>
        <w:t>3</w:t>
      </w:r>
      <w:r>
        <w:rPr>
          <w:rFonts w:hint="eastAsia"/>
        </w:rPr>
        <w:t>个和随后的每一个孩子的情况，最长期限不超过这个孩子的</w:t>
      </w:r>
      <w:r>
        <w:rPr>
          <w:rFonts w:hint="eastAsia"/>
        </w:rPr>
        <w:t>3</w:t>
      </w:r>
      <w:r>
        <w:rPr>
          <w:rFonts w:hint="eastAsia"/>
        </w:rPr>
        <w:t>岁生日。</w:t>
      </w:r>
    </w:p>
    <w:p w:rsidR="00000000" w:rsidRDefault="00000000">
      <w:pPr>
        <w:rPr>
          <w:rFonts w:hint="eastAsia"/>
        </w:rPr>
      </w:pPr>
      <w:r>
        <w:rPr>
          <w:rFonts w:hint="eastAsia"/>
        </w:rPr>
        <w:tab/>
        <w:t xml:space="preserve">203.  </w:t>
      </w:r>
      <w:r>
        <w:rPr>
          <w:rFonts w:hint="eastAsia"/>
        </w:rPr>
        <w:t>领取失业现金津贴的妇女在妊娠和分娩期后可继续领取津贴，直到孩子</w:t>
      </w:r>
      <w:r>
        <w:rPr>
          <w:rFonts w:hint="eastAsia"/>
        </w:rPr>
        <w:t>1</w:t>
      </w:r>
      <w:r>
        <w:rPr>
          <w:rFonts w:hint="eastAsia"/>
        </w:rPr>
        <w:t>岁或根据有关健康保险机构的评估，孩子如须由母亲照顾，可继续领取到孩子</w:t>
      </w:r>
      <w:r>
        <w:rPr>
          <w:rFonts w:hint="eastAsia"/>
        </w:rPr>
        <w:t>3</w:t>
      </w:r>
      <w:r>
        <w:rPr>
          <w:rFonts w:hint="eastAsia"/>
        </w:rPr>
        <w:t>岁；在双胞胎、第</w:t>
      </w:r>
      <w:r>
        <w:rPr>
          <w:rFonts w:hint="eastAsia"/>
        </w:rPr>
        <w:t>3</w:t>
      </w:r>
      <w:r>
        <w:rPr>
          <w:rFonts w:hint="eastAsia"/>
        </w:rPr>
        <w:t>个孩子和随后每个孩子的情况，可继续领取到孩子</w:t>
      </w:r>
      <w:r>
        <w:rPr>
          <w:rFonts w:hint="eastAsia"/>
        </w:rPr>
        <w:t>3</w:t>
      </w:r>
      <w:r>
        <w:rPr>
          <w:rFonts w:hint="eastAsia"/>
        </w:rPr>
        <w:t>岁。</w:t>
      </w:r>
    </w:p>
    <w:p w:rsidR="00000000" w:rsidRDefault="00000000">
      <w:pPr>
        <w:rPr>
          <w:rFonts w:hint="eastAsia"/>
        </w:rPr>
      </w:pPr>
      <w:r>
        <w:rPr>
          <w:rFonts w:hint="eastAsia"/>
        </w:rPr>
        <w:tab/>
        <w:t xml:space="preserve">204.  </w:t>
      </w:r>
      <w:r>
        <w:rPr>
          <w:rFonts w:hint="eastAsia"/>
        </w:rPr>
        <w:t>在孩子死亡的情况下，妇女申请人在如果孩子尚未死亡能申请的时间内继续有权享受现金津贴和退休和残疾人保险，但如果这一期限超过</w:t>
      </w:r>
      <w:r>
        <w:rPr>
          <w:rFonts w:hint="eastAsia"/>
        </w:rPr>
        <w:t>6</w:t>
      </w:r>
      <w:r>
        <w:rPr>
          <w:rFonts w:hint="eastAsia"/>
        </w:rPr>
        <w:t>个月，那么享受期最长为孩子死亡后的</w:t>
      </w:r>
      <w:r>
        <w:rPr>
          <w:rFonts w:hint="eastAsia"/>
        </w:rPr>
        <w:t>6</w:t>
      </w:r>
      <w:r>
        <w:rPr>
          <w:rFonts w:hint="eastAsia"/>
        </w:rPr>
        <w:t>个月。在妇女仅有权享受现金津贴的情况下，这笔津贴继续支付到孩子死亡后的</w:t>
      </w:r>
      <w:r>
        <w:rPr>
          <w:rFonts w:hint="eastAsia"/>
        </w:rPr>
        <w:t>2</w:t>
      </w:r>
      <w:r>
        <w:rPr>
          <w:rFonts w:hint="eastAsia"/>
        </w:rPr>
        <w:t>个月。</w:t>
      </w:r>
    </w:p>
    <w:p w:rsidR="00000000" w:rsidRDefault="00000000">
      <w:pPr>
        <w:rPr>
          <w:rFonts w:hint="eastAsia"/>
        </w:rPr>
      </w:pPr>
      <w:r>
        <w:rPr>
          <w:rFonts w:hint="eastAsia"/>
        </w:rPr>
        <w:tab/>
        <w:t xml:space="preserve">205.  </w:t>
      </w:r>
      <w:r>
        <w:rPr>
          <w:rFonts w:hint="eastAsia"/>
        </w:rPr>
        <w:t>停止就业或服务的人因下列原因可申请现金津贴：</w:t>
      </w:r>
    </w:p>
    <w:p w:rsidR="00000000" w:rsidRDefault="00000000">
      <w:pPr>
        <w:numPr>
          <w:ilvl w:val="0"/>
          <w:numId w:val="38"/>
        </w:numPr>
        <w:ind w:left="1440"/>
        <w:rPr>
          <w:rFonts w:hint="eastAsia"/>
        </w:rPr>
      </w:pPr>
      <w:r>
        <w:rPr>
          <w:rFonts w:hint="eastAsia"/>
        </w:rPr>
        <w:t>因为此人已发出通知，除非因雇主行为造成的特殊通知；</w:t>
      </w:r>
    </w:p>
    <w:p w:rsidR="00000000" w:rsidRDefault="00000000">
      <w:pPr>
        <w:numPr>
          <w:ilvl w:val="0"/>
          <w:numId w:val="38"/>
        </w:numPr>
        <w:ind w:left="1440"/>
        <w:rPr>
          <w:rFonts w:hint="eastAsia"/>
        </w:rPr>
      </w:pPr>
      <w:r>
        <w:rPr>
          <w:rFonts w:hint="eastAsia"/>
        </w:rPr>
        <w:t>按照有关终止就业合同的书面协议；</w:t>
      </w:r>
    </w:p>
    <w:p w:rsidR="00000000" w:rsidRDefault="00000000">
      <w:pPr>
        <w:numPr>
          <w:ilvl w:val="0"/>
          <w:numId w:val="38"/>
        </w:numPr>
        <w:ind w:left="1440"/>
        <w:rPr>
          <w:rFonts w:hint="eastAsia"/>
        </w:rPr>
      </w:pPr>
      <w:r>
        <w:rPr>
          <w:rFonts w:hint="eastAsia"/>
        </w:rPr>
        <w:t>由于此人在试用期内没有达到规定的效果或没有通过专业或职业考试或作为学徒或受训人员在学徒或受训期间没有取得满意结果；</w:t>
      </w:r>
    </w:p>
    <w:p w:rsidR="00000000" w:rsidRDefault="00000000">
      <w:pPr>
        <w:numPr>
          <w:ilvl w:val="0"/>
          <w:numId w:val="38"/>
        </w:numPr>
        <w:ind w:left="1440"/>
        <w:rPr>
          <w:rFonts w:hint="eastAsia"/>
        </w:rPr>
      </w:pPr>
      <w:r>
        <w:rPr>
          <w:rFonts w:hint="eastAsia"/>
        </w:rPr>
        <w:t>由于此人违反了雇用义务或严重违反工作义务或服务职责；</w:t>
      </w:r>
    </w:p>
    <w:p w:rsidR="00000000" w:rsidRDefault="00000000">
      <w:pPr>
        <w:numPr>
          <w:ilvl w:val="0"/>
          <w:numId w:val="38"/>
        </w:numPr>
        <w:ind w:left="1440"/>
        <w:rPr>
          <w:rFonts w:hint="eastAsia"/>
        </w:rPr>
      </w:pPr>
      <w:r>
        <w:rPr>
          <w:rFonts w:hint="eastAsia"/>
        </w:rPr>
        <w:t>由于他或她连续</w:t>
      </w:r>
      <w:r>
        <w:rPr>
          <w:rFonts w:hint="eastAsia"/>
        </w:rPr>
        <w:t>5</w:t>
      </w:r>
      <w:r>
        <w:rPr>
          <w:rFonts w:hint="eastAsia"/>
        </w:rPr>
        <w:t>天无故旷工；</w:t>
      </w:r>
    </w:p>
    <w:p w:rsidR="00000000" w:rsidRDefault="00000000">
      <w:pPr>
        <w:numPr>
          <w:ilvl w:val="0"/>
          <w:numId w:val="38"/>
        </w:numPr>
        <w:ind w:left="1440"/>
        <w:rPr>
          <w:rFonts w:hint="eastAsia"/>
        </w:rPr>
      </w:pPr>
      <w:r>
        <w:rPr>
          <w:rFonts w:hint="eastAsia"/>
        </w:rPr>
        <w:t>由于他或她在监狱服刑或被其他某种机构押候</w:t>
      </w:r>
      <w:r>
        <w:rPr>
          <w:rFonts w:hint="eastAsia"/>
        </w:rPr>
        <w:t>6</w:t>
      </w:r>
      <w:r>
        <w:rPr>
          <w:rFonts w:hint="eastAsia"/>
        </w:rPr>
        <w:t>个月以上；</w:t>
      </w:r>
    </w:p>
    <w:p w:rsidR="00000000" w:rsidRDefault="00000000">
      <w:pPr>
        <w:numPr>
          <w:ilvl w:val="0"/>
          <w:numId w:val="38"/>
        </w:numPr>
        <w:ind w:left="1440"/>
        <w:rPr>
          <w:rFonts w:hint="eastAsia"/>
        </w:rPr>
      </w:pPr>
      <w:r>
        <w:rPr>
          <w:rFonts w:hint="eastAsia"/>
        </w:rPr>
        <w:t>退休或符合领取养老金条件；</w:t>
      </w:r>
    </w:p>
    <w:p w:rsidR="00000000" w:rsidRDefault="00000000">
      <w:pPr>
        <w:numPr>
          <w:ilvl w:val="0"/>
          <w:numId w:val="38"/>
        </w:numPr>
        <w:ind w:left="1440"/>
        <w:rPr>
          <w:rFonts w:hint="eastAsia"/>
        </w:rPr>
      </w:pPr>
      <w:r>
        <w:rPr>
          <w:rFonts w:hint="eastAsia"/>
        </w:rPr>
        <w:t>因按退休和残疾人保险规则完全丧失工作能力；</w:t>
      </w:r>
    </w:p>
    <w:p w:rsidR="00000000" w:rsidRDefault="00000000">
      <w:pPr>
        <w:rPr>
          <w:rFonts w:hint="eastAsia"/>
        </w:rPr>
      </w:pPr>
      <w:r>
        <w:rPr>
          <w:rFonts w:hint="eastAsia"/>
        </w:rPr>
        <w:tab/>
        <w:t xml:space="preserve">206.  </w:t>
      </w:r>
      <w:r>
        <w:rPr>
          <w:rFonts w:hint="eastAsia"/>
        </w:rPr>
        <w:t>经书面协议终止就业或服务的失业者如果其就业或服务因下列原因而终止可例外申请现金津贴：</w:t>
      </w:r>
    </w:p>
    <w:p w:rsidR="00000000" w:rsidRDefault="00000000">
      <w:pPr>
        <w:numPr>
          <w:ilvl w:val="0"/>
          <w:numId w:val="39"/>
        </w:numPr>
        <w:ind w:left="1440" w:hanging="211"/>
        <w:rPr>
          <w:rFonts w:hint="eastAsia"/>
        </w:rPr>
      </w:pPr>
      <w:r>
        <w:rPr>
          <w:rFonts w:hint="eastAsia"/>
        </w:rPr>
        <w:t>此人的配偶根据特别条例前往异地任职；</w:t>
      </w:r>
    </w:p>
    <w:p w:rsidR="00000000" w:rsidRDefault="00000000">
      <w:pPr>
        <w:numPr>
          <w:ilvl w:val="0"/>
          <w:numId w:val="39"/>
        </w:numPr>
        <w:ind w:left="1440" w:hanging="211"/>
        <w:rPr>
          <w:rFonts w:hint="eastAsia"/>
        </w:rPr>
      </w:pPr>
      <w:r>
        <w:rPr>
          <w:rFonts w:hint="eastAsia"/>
        </w:rPr>
        <w:t>婚后家庭合并，造成居住地点改变；</w:t>
      </w:r>
    </w:p>
    <w:p w:rsidR="00000000" w:rsidRDefault="00000000">
      <w:pPr>
        <w:numPr>
          <w:ilvl w:val="0"/>
          <w:numId w:val="39"/>
        </w:numPr>
        <w:ind w:left="1440" w:hanging="211"/>
        <w:rPr>
          <w:rFonts w:hint="eastAsia"/>
        </w:rPr>
      </w:pPr>
      <w:r>
        <w:rPr>
          <w:rFonts w:hint="eastAsia"/>
        </w:rPr>
        <w:t>依据卫生部长确定的医疗机构的意见，出于健康原因而改变居住地点。</w:t>
      </w:r>
    </w:p>
    <w:p w:rsidR="00000000" w:rsidRDefault="00000000">
      <w:pPr>
        <w:rPr>
          <w:rFonts w:hint="eastAsia"/>
        </w:rPr>
      </w:pPr>
      <w:r>
        <w:rPr>
          <w:rFonts w:hint="eastAsia"/>
        </w:rPr>
        <w:tab/>
        <w:t xml:space="preserve">207.  </w:t>
      </w:r>
      <w:r>
        <w:rPr>
          <w:rFonts w:hint="eastAsia"/>
        </w:rPr>
        <w:t>确定现金津贴数额的依据是在停止就业或服务或暂时丧失工作能力之前的那一季度全时工作所得平均工资，减去各项已缴款额。头</w:t>
      </w:r>
      <w:r>
        <w:rPr>
          <w:rFonts w:hint="eastAsia"/>
        </w:rPr>
        <w:t>78</w:t>
      </w:r>
      <w:r>
        <w:rPr>
          <w:rFonts w:hint="eastAsia"/>
        </w:rPr>
        <w:t>天的现金津贴数额为上述基数的</w:t>
      </w:r>
      <w:r>
        <w:rPr>
          <w:rFonts w:hint="eastAsia"/>
        </w:rPr>
        <w:t>80%</w:t>
      </w:r>
      <w:r>
        <w:rPr>
          <w:rFonts w:hint="eastAsia"/>
        </w:rPr>
        <w:t>，余下时间为</w:t>
      </w:r>
      <w:r>
        <w:rPr>
          <w:rFonts w:hint="eastAsia"/>
        </w:rPr>
        <w:t>60%</w:t>
      </w:r>
      <w:r>
        <w:rPr>
          <w:rFonts w:hint="eastAsia"/>
        </w:rPr>
        <w:t>。</w:t>
      </w:r>
    </w:p>
    <w:p w:rsidR="00000000" w:rsidRDefault="00000000">
      <w:pPr>
        <w:rPr>
          <w:rFonts w:hint="eastAsia"/>
        </w:rPr>
      </w:pPr>
      <w:r>
        <w:rPr>
          <w:rFonts w:hint="eastAsia"/>
        </w:rPr>
        <w:tab/>
        <w:t xml:space="preserve">208.  </w:t>
      </w:r>
      <w:r>
        <w:rPr>
          <w:rFonts w:hint="eastAsia"/>
        </w:rPr>
        <w:t>现金津贴不得少于最新公布的克罗地亚共和国</w:t>
      </w:r>
      <w:r>
        <w:rPr>
          <w:rFonts w:hint="eastAsia"/>
        </w:rPr>
        <w:t>(</w:t>
      </w:r>
      <w:r>
        <w:rPr>
          <w:rFonts w:hint="eastAsia"/>
        </w:rPr>
        <w:t>商业</w:t>
      </w:r>
      <w:r>
        <w:rPr>
          <w:rFonts w:hint="eastAsia"/>
        </w:rPr>
        <w:t>)</w:t>
      </w:r>
      <w:r>
        <w:rPr>
          <w:rFonts w:hint="eastAsia"/>
        </w:rPr>
        <w:t>经济部门支付的平均工资数额的</w:t>
      </w:r>
      <w:r>
        <w:rPr>
          <w:rFonts w:hint="eastAsia"/>
        </w:rPr>
        <w:t>20%</w:t>
      </w:r>
      <w:r>
        <w:rPr>
          <w:rFonts w:hint="eastAsia"/>
        </w:rPr>
        <w:t>，也不得高于劳工部长与财政部长协商确定的数额。</w:t>
      </w:r>
    </w:p>
    <w:p w:rsidR="00000000" w:rsidRDefault="00000000">
      <w:pPr>
        <w:spacing w:after="320"/>
        <w:rPr>
          <w:rFonts w:hint="eastAsia"/>
        </w:rPr>
      </w:pPr>
      <w:r>
        <w:rPr>
          <w:rFonts w:hint="eastAsia"/>
        </w:rPr>
        <w:tab/>
        <w:t xml:space="preserve">209.  </w:t>
      </w:r>
      <w:r>
        <w:rPr>
          <w:rFonts w:hint="eastAsia"/>
        </w:rPr>
        <w:t>一个月的最低数额为</w:t>
      </w:r>
      <w:r>
        <w:rPr>
          <w:rFonts w:hint="eastAsia"/>
        </w:rPr>
        <w:t>615.20</w:t>
      </w:r>
      <w:r>
        <w:rPr>
          <w:rFonts w:hint="eastAsia"/>
        </w:rPr>
        <w:t>库纳，最高为</w:t>
      </w:r>
      <w:r>
        <w:rPr>
          <w:rFonts w:hint="eastAsia"/>
        </w:rPr>
        <w:t>900</w:t>
      </w:r>
      <w:r>
        <w:rPr>
          <w:rFonts w:hint="eastAsia"/>
        </w:rPr>
        <w:t>库纳。</w:t>
      </w:r>
    </w:p>
    <w:p w:rsidR="00000000" w:rsidRDefault="00000000">
      <w:pPr>
        <w:pStyle w:val="Heading4"/>
        <w:rPr>
          <w:rFonts w:hint="eastAsia"/>
        </w:rPr>
      </w:pPr>
      <w:r>
        <w:rPr>
          <w:rFonts w:hint="eastAsia"/>
        </w:rPr>
        <w:t>产妇福利</w:t>
      </w:r>
    </w:p>
    <w:p w:rsidR="00000000" w:rsidRDefault="00000000">
      <w:pPr>
        <w:rPr>
          <w:rFonts w:hint="eastAsia"/>
        </w:rPr>
      </w:pPr>
      <w:r>
        <w:rPr>
          <w:rFonts w:hint="eastAsia"/>
        </w:rPr>
        <w:tab/>
        <w:t xml:space="preserve">210.  </w:t>
      </w:r>
      <w:r>
        <w:rPr>
          <w:rFonts w:hint="eastAsia"/>
        </w:rPr>
        <w:t>克罗地亚共和国有关健康保险的条例规定向妇女提供与计划生育、妊娠、分娩和产妇有关</w:t>
      </w:r>
      <w:r>
        <w:rPr>
          <w:rFonts w:hint="eastAsia"/>
        </w:rPr>
        <w:t>(</w:t>
      </w:r>
      <w:r>
        <w:rPr>
          <w:rFonts w:hint="eastAsia"/>
        </w:rPr>
        <w:t>包括预防、治疗和康复</w:t>
      </w:r>
      <w:r>
        <w:rPr>
          <w:rFonts w:hint="eastAsia"/>
        </w:rPr>
        <w:t>)</w:t>
      </w:r>
      <w:r>
        <w:rPr>
          <w:rFonts w:hint="eastAsia"/>
        </w:rPr>
        <w:t>的全部医疗。</w:t>
      </w:r>
    </w:p>
    <w:p w:rsidR="00000000" w:rsidRDefault="00000000">
      <w:pPr>
        <w:rPr>
          <w:rFonts w:hint="eastAsia"/>
        </w:rPr>
      </w:pPr>
      <w:r>
        <w:rPr>
          <w:rFonts w:hint="eastAsia"/>
        </w:rPr>
        <w:tab/>
        <w:t xml:space="preserve">211.  </w:t>
      </w:r>
      <w:r>
        <w:rPr>
          <w:rFonts w:hint="eastAsia"/>
        </w:rPr>
        <w:t>妇女生殖功能方面的保健通过常设或临时妇科诊所、计划生育咨询服务、孕妇咨询服务和初级保健制度内健康查访工作来进行。</w:t>
      </w:r>
    </w:p>
    <w:p w:rsidR="00000000" w:rsidRDefault="00000000">
      <w:pPr>
        <w:rPr>
          <w:rFonts w:hint="eastAsia"/>
        </w:rPr>
      </w:pPr>
      <w:r>
        <w:rPr>
          <w:rFonts w:hint="eastAsia"/>
        </w:rPr>
        <w:tab/>
        <w:t xml:space="preserve">212.  </w:t>
      </w:r>
      <w:r>
        <w:rPr>
          <w:rFonts w:hint="eastAsia"/>
        </w:rPr>
        <w:t>按义务健康保险投保的妇女享有下列权利：</w:t>
      </w:r>
    </w:p>
    <w:p w:rsidR="00000000" w:rsidRDefault="00000000">
      <w:pPr>
        <w:numPr>
          <w:ilvl w:val="0"/>
          <w:numId w:val="50"/>
        </w:numPr>
        <w:ind w:left="1440"/>
        <w:rPr>
          <w:rFonts w:hint="eastAsia"/>
        </w:rPr>
      </w:pPr>
      <w:r>
        <w:rPr>
          <w:rFonts w:hint="eastAsia"/>
        </w:rPr>
        <w:t>如果她属于下列情况，可得到工资补偿：</w:t>
      </w:r>
    </w:p>
    <w:p w:rsidR="00000000" w:rsidRDefault="00000000">
      <w:pPr>
        <w:pStyle w:val="a0"/>
        <w:tabs>
          <w:tab w:val="num" w:pos="1531"/>
        </w:tabs>
        <w:ind w:left="2070"/>
        <w:rPr>
          <w:rFonts w:hint="eastAsia"/>
        </w:rPr>
      </w:pPr>
      <w:r>
        <w:rPr>
          <w:rFonts w:hint="eastAsia"/>
        </w:rPr>
        <w:t>因病或受伤或因治疗或医疗检查而暂时不能工作；</w:t>
      </w:r>
    </w:p>
    <w:p w:rsidR="00000000" w:rsidRDefault="00000000">
      <w:pPr>
        <w:pStyle w:val="a0"/>
        <w:tabs>
          <w:tab w:val="num" w:pos="1531"/>
        </w:tabs>
        <w:ind w:left="2070"/>
        <w:rPr>
          <w:rFonts w:hint="eastAsia"/>
        </w:rPr>
      </w:pPr>
      <w:r>
        <w:rPr>
          <w:rFonts w:hint="eastAsia"/>
        </w:rPr>
        <w:t>因怀孕或因她周围出现了一些感染而被隔离；</w:t>
      </w:r>
    </w:p>
    <w:p w:rsidR="00000000" w:rsidRDefault="00000000">
      <w:pPr>
        <w:pStyle w:val="a0"/>
        <w:tabs>
          <w:tab w:val="num" w:pos="1531"/>
        </w:tabs>
        <w:ind w:left="2070"/>
        <w:rPr>
          <w:rFonts w:hint="eastAsia"/>
        </w:rPr>
      </w:pPr>
      <w:r>
        <w:rPr>
          <w:rFonts w:hint="eastAsia"/>
        </w:rPr>
        <w:t>根据法律规定的条件必须照看有病的配偶或孩子；</w:t>
      </w:r>
    </w:p>
    <w:p w:rsidR="00000000" w:rsidRDefault="00000000">
      <w:pPr>
        <w:pStyle w:val="a0"/>
        <w:tabs>
          <w:tab w:val="num" w:pos="1531"/>
        </w:tabs>
        <w:ind w:left="2070"/>
        <w:rPr>
          <w:rFonts w:hint="eastAsia"/>
        </w:rPr>
      </w:pPr>
      <w:r>
        <w:rPr>
          <w:rFonts w:hint="eastAsia"/>
        </w:rPr>
        <w:t>因下列情况而暂时失去工作能力：怀孕或休义务产假直到孩子</w:t>
      </w:r>
      <w:r>
        <w:rPr>
          <w:rFonts w:hint="eastAsia"/>
        </w:rPr>
        <w:t>1</w:t>
      </w:r>
      <w:r>
        <w:rPr>
          <w:rFonts w:hint="eastAsia"/>
        </w:rPr>
        <w:t>岁或最大为</w:t>
      </w:r>
      <w:r>
        <w:rPr>
          <w:rFonts w:hint="eastAsia"/>
        </w:rPr>
        <w:t>3</w:t>
      </w:r>
      <w:r>
        <w:rPr>
          <w:rFonts w:hint="eastAsia"/>
        </w:rPr>
        <w:t>岁、休领养假和享受减少工作时间的权利，直到孩子</w:t>
      </w:r>
      <w:r>
        <w:rPr>
          <w:rFonts w:hint="eastAsia"/>
        </w:rPr>
        <w:t>1</w:t>
      </w:r>
      <w:r>
        <w:rPr>
          <w:rFonts w:hint="eastAsia"/>
        </w:rPr>
        <w:t>岁或</w:t>
      </w:r>
      <w:r>
        <w:rPr>
          <w:rFonts w:hint="eastAsia"/>
        </w:rPr>
        <w:t>3</w:t>
      </w:r>
      <w:r>
        <w:rPr>
          <w:rFonts w:hint="eastAsia"/>
        </w:rPr>
        <w:t>岁；为了根据劳工法</w:t>
      </w:r>
      <w:r>
        <w:rPr>
          <w:rFonts w:hint="eastAsia"/>
        </w:rPr>
        <w:t>(</w:t>
      </w:r>
      <w:r>
        <w:rPr>
          <w:rFonts w:hint="eastAsia"/>
        </w:rPr>
        <w:t>第</w:t>
      </w:r>
      <w:r>
        <w:rPr>
          <w:rFonts w:hint="eastAsia"/>
        </w:rPr>
        <w:t>21</w:t>
      </w:r>
      <w:r>
        <w:rPr>
          <w:rFonts w:hint="eastAsia"/>
        </w:rPr>
        <w:t>条</w:t>
      </w:r>
      <w:r>
        <w:rPr>
          <w:rFonts w:hint="eastAsia"/>
        </w:rPr>
        <w:t>)</w:t>
      </w:r>
      <w:r>
        <w:rPr>
          <w:rFonts w:hint="eastAsia"/>
        </w:rPr>
        <w:t>的规定在工作时行使为哺乳婴儿而停工的权利；</w:t>
      </w:r>
    </w:p>
    <w:p w:rsidR="00000000" w:rsidRDefault="00000000">
      <w:pPr>
        <w:ind w:left="1040"/>
      </w:pPr>
      <w:r>
        <w:rPr>
          <w:rFonts w:hint="eastAsia"/>
        </w:rPr>
        <w:t>(</w:t>
      </w:r>
      <w:r>
        <w:t>b</w:t>
      </w:r>
      <w:r>
        <w:rPr>
          <w:rFonts w:hint="eastAsia"/>
        </w:rPr>
        <w:t>)</w:t>
      </w:r>
      <w:r>
        <w:rPr>
          <w:rFonts w:hint="eastAsia"/>
        </w:rPr>
        <w:tab/>
      </w:r>
      <w:r>
        <w:rPr>
          <w:rFonts w:hint="eastAsia"/>
        </w:rPr>
        <w:t>对与保健有关的旅费的补偿；</w:t>
      </w:r>
    </w:p>
    <w:p w:rsidR="00000000" w:rsidRDefault="00000000">
      <w:pPr>
        <w:ind w:left="1040"/>
        <w:rPr>
          <w:rFonts w:hint="eastAsia"/>
        </w:rPr>
      </w:pPr>
      <w:r>
        <w:rPr>
          <w:rFonts w:hint="eastAsia"/>
        </w:rPr>
        <w:t>(</w:t>
      </w:r>
      <w:r>
        <w:t>c</w:t>
      </w:r>
      <w:r>
        <w:rPr>
          <w:rFonts w:hint="eastAsia"/>
        </w:rPr>
        <w:t>)</w:t>
      </w:r>
      <w:r>
        <w:tab/>
      </w:r>
      <w:r>
        <w:rPr>
          <w:rFonts w:hint="eastAsia"/>
        </w:rPr>
        <w:t>为新生儿衣被提供的援助。</w:t>
      </w:r>
    </w:p>
    <w:p w:rsidR="00000000" w:rsidRDefault="00000000">
      <w:pPr>
        <w:rPr>
          <w:rFonts w:hint="eastAsia"/>
        </w:rPr>
      </w:pPr>
      <w:r>
        <w:rPr>
          <w:rFonts w:hint="eastAsia"/>
        </w:rPr>
        <w:tab/>
        <w:t xml:space="preserve">213.  </w:t>
      </w:r>
      <w:r>
        <w:rPr>
          <w:rFonts w:hint="eastAsia"/>
        </w:rPr>
        <w:t>为照看有病的丈夫或孩子、因妊娠和行使与保护孕妇有关的权利之一而给予的工资补偿按照与健康保险有关的条例计算和支付，详细内容见对《公约》第</w:t>
      </w:r>
      <w:r>
        <w:rPr>
          <w:rFonts w:hint="eastAsia"/>
        </w:rPr>
        <w:t>10</w:t>
      </w:r>
      <w:r>
        <w:rPr>
          <w:rFonts w:hint="eastAsia"/>
        </w:rPr>
        <w:t>条的评论。</w:t>
      </w:r>
    </w:p>
    <w:p w:rsidR="00000000" w:rsidRDefault="00000000">
      <w:pPr>
        <w:rPr>
          <w:rFonts w:hint="eastAsia"/>
        </w:rPr>
      </w:pPr>
      <w:r>
        <w:rPr>
          <w:rFonts w:hint="eastAsia"/>
        </w:rPr>
        <w:tab/>
        <w:t xml:space="preserve">214.  </w:t>
      </w:r>
      <w:r>
        <w:rPr>
          <w:rFonts w:hint="eastAsia"/>
        </w:rPr>
        <w:t>保险人在确定产妇津贴的当月可向国家预算基金申请相当于</w:t>
      </w:r>
      <w:r>
        <w:rPr>
          <w:rFonts w:hint="eastAsia"/>
        </w:rPr>
        <w:t>2</w:t>
      </w:r>
      <w:r>
        <w:rPr>
          <w:rFonts w:hint="eastAsia"/>
        </w:rPr>
        <w:t>个月的最低有效基本工资数额的新生儿衣被援助。</w:t>
      </w:r>
    </w:p>
    <w:p w:rsidR="00000000" w:rsidRDefault="00000000">
      <w:pPr>
        <w:rPr>
          <w:rFonts w:hint="eastAsia"/>
        </w:rPr>
      </w:pPr>
      <w:r>
        <w:rPr>
          <w:rFonts w:hint="eastAsia"/>
        </w:rPr>
        <w:tab/>
        <w:t xml:space="preserve">215.  </w:t>
      </w:r>
      <w:r>
        <w:rPr>
          <w:rFonts w:hint="eastAsia"/>
        </w:rPr>
        <w:t>社会福利法</w:t>
      </w:r>
      <w:r>
        <w:rPr>
          <w:rFonts w:hint="eastAsia"/>
        </w:rPr>
        <w:t>(</w:t>
      </w:r>
      <w:r>
        <w:rPr>
          <w:rFonts w:hint="eastAsia"/>
        </w:rPr>
        <w:t>官方公报第</w:t>
      </w:r>
      <w:r>
        <w:rPr>
          <w:rFonts w:hint="eastAsia"/>
        </w:rPr>
        <w:t>73/97</w:t>
      </w:r>
      <w:r>
        <w:rPr>
          <w:rFonts w:hint="eastAsia"/>
        </w:rPr>
        <w:t>号</w:t>
      </w:r>
      <w:r>
        <w:rPr>
          <w:rFonts w:hint="eastAsia"/>
        </w:rPr>
        <w:t>)</w:t>
      </w:r>
      <w:r>
        <w:rPr>
          <w:rFonts w:hint="eastAsia"/>
        </w:rPr>
        <w:t>和其他条例管理克罗地亚共和国社会福利制度。</w:t>
      </w:r>
    </w:p>
    <w:p w:rsidR="00000000" w:rsidRDefault="00000000">
      <w:pPr>
        <w:rPr>
          <w:rFonts w:hint="eastAsia"/>
        </w:rPr>
      </w:pPr>
      <w:r>
        <w:rPr>
          <w:rFonts w:hint="eastAsia"/>
        </w:rPr>
        <w:tab/>
        <w:t xml:space="preserve">216.  </w:t>
      </w:r>
      <w:r>
        <w:rPr>
          <w:rFonts w:hint="eastAsia"/>
        </w:rPr>
        <w:t>社会福利是克罗地亚共和国特别重视的一项工作，通过它帮助解决在社会上面临危险的人、体弱多病者和其他人员的生活基本需要，由于个人、经济、社会和其他方面处境不利，这种人本身无法甚或借助其家庭成员帮助也无法满足其基本生活需要。</w:t>
      </w:r>
    </w:p>
    <w:p w:rsidR="00000000" w:rsidRDefault="00000000">
      <w:pPr>
        <w:rPr>
          <w:rFonts w:hint="eastAsia"/>
        </w:rPr>
      </w:pPr>
      <w:r>
        <w:rPr>
          <w:rFonts w:hint="eastAsia"/>
        </w:rPr>
        <w:tab/>
        <w:t xml:space="preserve">217.  </w:t>
      </w:r>
      <w:r>
        <w:rPr>
          <w:rFonts w:hint="eastAsia"/>
        </w:rPr>
        <w:t>社会福利框架规定了得到下列各种帮助的权利：咨询意见、克服特殊困难的帮助、维持生计的帮助、住房费用帮助、一次性付款帮助、对家佣和护理的付款、家庭帮助和护理、个人残疾付款、为独立生活和工作的培训、家庭以外的护理和其他种类的帮助。</w:t>
      </w:r>
    </w:p>
    <w:p w:rsidR="00000000" w:rsidRDefault="00000000">
      <w:pPr>
        <w:rPr>
          <w:rFonts w:hint="eastAsia"/>
        </w:rPr>
      </w:pPr>
      <w:r>
        <w:rPr>
          <w:rFonts w:hint="eastAsia"/>
        </w:rPr>
        <w:tab/>
        <w:t xml:space="preserve">218.  </w:t>
      </w:r>
      <w:r>
        <w:rPr>
          <w:rFonts w:hint="eastAsia"/>
        </w:rPr>
        <w:t>社会福利由社会福利机构执行。这些机构视不同的种类可由克罗地亚共和国、自治城镇、城市、萨格勒布市、宗教社区、某一公司、协会或某些其他外国、法律或私人实体根据条例设立。</w:t>
      </w:r>
    </w:p>
    <w:p w:rsidR="00000000" w:rsidRDefault="00000000">
      <w:pPr>
        <w:rPr>
          <w:rFonts w:hint="eastAsia"/>
        </w:rPr>
      </w:pPr>
      <w:r>
        <w:rPr>
          <w:rFonts w:hint="eastAsia"/>
        </w:rPr>
        <w:tab/>
        <w:t xml:space="preserve">219.  </w:t>
      </w:r>
      <w:r>
        <w:rPr>
          <w:rFonts w:hint="eastAsia"/>
        </w:rPr>
        <w:t>社会福利机构的工作可分为社会福利中心、社会福利之家以及保健护理中心。</w:t>
      </w:r>
    </w:p>
    <w:p w:rsidR="00000000" w:rsidRDefault="00000000">
      <w:pPr>
        <w:rPr>
          <w:rFonts w:hint="eastAsia"/>
        </w:rPr>
      </w:pPr>
      <w:r>
        <w:rPr>
          <w:rFonts w:hint="eastAsia"/>
        </w:rPr>
        <w:tab/>
        <w:t xml:space="preserve">220.  </w:t>
      </w:r>
      <w:r>
        <w:rPr>
          <w:rFonts w:hint="eastAsia"/>
        </w:rPr>
        <w:t>社会福利中心只能由克罗地亚共和国建立，而其他种类的机构可由上述各种实体建立。除了法定的其他职责外，社会福利中心是一个能就家庭法和刑法产生的社会福利和保护作出初步裁决的机构并在地方一级开展工作。</w:t>
      </w:r>
    </w:p>
    <w:p w:rsidR="00000000" w:rsidRDefault="00000000">
      <w:pPr>
        <w:rPr>
          <w:rFonts w:hint="eastAsia"/>
        </w:rPr>
      </w:pPr>
      <w:r>
        <w:rPr>
          <w:rFonts w:hint="eastAsia"/>
        </w:rPr>
        <w:tab/>
        <w:t xml:space="preserve">221.  </w:t>
      </w:r>
      <w:r>
        <w:rPr>
          <w:rFonts w:hint="eastAsia"/>
        </w:rPr>
        <w:t>克罗地亚共和国共成立了</w:t>
      </w:r>
      <w:r>
        <w:rPr>
          <w:rFonts w:hint="eastAsia"/>
        </w:rPr>
        <w:t>76</w:t>
      </w:r>
      <w:r>
        <w:rPr>
          <w:rFonts w:hint="eastAsia"/>
        </w:rPr>
        <w:t>个中心，外加</w:t>
      </w:r>
      <w:r>
        <w:rPr>
          <w:rFonts w:hint="eastAsia"/>
        </w:rPr>
        <w:t>26</w:t>
      </w:r>
      <w:r>
        <w:rPr>
          <w:rFonts w:hint="eastAsia"/>
        </w:rPr>
        <w:t>个分支机构，均匀分布在克罗地亚共和国全国各地。</w:t>
      </w:r>
    </w:p>
    <w:p w:rsidR="00000000" w:rsidRDefault="00000000">
      <w:pPr>
        <w:rPr>
          <w:rFonts w:hint="eastAsia"/>
        </w:rPr>
      </w:pPr>
      <w:r>
        <w:rPr>
          <w:rFonts w:hint="eastAsia"/>
        </w:rPr>
        <w:tab/>
        <w:t xml:space="preserve">222.  </w:t>
      </w:r>
      <w:r>
        <w:rPr>
          <w:rFonts w:hint="eastAsia"/>
        </w:rPr>
        <w:t>社会福利中心及其分支机构向在社会上面临危险的人和其他人提供支助，减轻和克服他们的困境以及帮助他们更成功地克服艰难和困难。这一切是通过实现下列权利而做到的：</w:t>
      </w:r>
    </w:p>
    <w:p w:rsidR="00000000" w:rsidRDefault="00000000">
      <w:pPr>
        <w:numPr>
          <w:ilvl w:val="0"/>
          <w:numId w:val="40"/>
        </w:numPr>
        <w:rPr>
          <w:rFonts w:hint="eastAsia"/>
        </w:rPr>
      </w:pPr>
      <w:r>
        <w:rPr>
          <w:rFonts w:hint="eastAsia"/>
        </w:rPr>
        <w:t>咨询权：它涉及有系统、有规划的援助，目标是更成功地克服艰难困苦、创造条件维护和发展个人能力和培养个人对自己、家庭和社会更负责任的态度。这种咨询免费提供；</w:t>
      </w:r>
    </w:p>
    <w:p w:rsidR="00000000" w:rsidRDefault="00000000">
      <w:pPr>
        <w:numPr>
          <w:ilvl w:val="0"/>
          <w:numId w:val="40"/>
        </w:numPr>
        <w:rPr>
          <w:rFonts w:hint="eastAsia"/>
        </w:rPr>
      </w:pPr>
      <w:r>
        <w:rPr>
          <w:rFonts w:hint="eastAsia"/>
        </w:rPr>
        <w:t>获得克服特殊困难援助的权利：提供给单身者或家庭，以帮助克服与疾病、年迈、家庭成员死亡、残疾、以及抚养儿童、在教养机构呆了一段时间后或接受长期医疗或经过其他不利情况或危急状况后恢复正常生活等问题有关的艰难困苦。这种形式的社会福利包括法律事务方面的免费法律援助，通过这种援助保证满足个人和家庭的关键需要；</w:t>
      </w:r>
    </w:p>
    <w:p w:rsidR="00000000" w:rsidRDefault="00000000">
      <w:pPr>
        <w:numPr>
          <w:ilvl w:val="0"/>
          <w:numId w:val="40"/>
        </w:numPr>
        <w:rPr>
          <w:rFonts w:hint="eastAsia"/>
        </w:rPr>
      </w:pPr>
      <w:r>
        <w:rPr>
          <w:rFonts w:hint="eastAsia"/>
        </w:rPr>
        <w:t>获得维持生计补助权：单身者或家庭如果没有足够或根本没有任何资源来解决其关键需要而且也无法从其工作、资产收入或其他某种方式取得资源，即有权要求。确定援助数额时要考虑家庭成员的年龄结构；有完全不能工作的成员或孕妇的家庭或单亲家庭可通过对特殊或增加了的需要的补充办法获得更多的援助。通过这种办法，在提供维持生计的帮助时考虑到每一家庭的具体情况；</w:t>
      </w:r>
    </w:p>
    <w:p w:rsidR="00000000" w:rsidRDefault="00000000">
      <w:pPr>
        <w:numPr>
          <w:ilvl w:val="0"/>
          <w:numId w:val="40"/>
        </w:numPr>
        <w:rPr>
          <w:rFonts w:hint="eastAsia"/>
        </w:rPr>
      </w:pPr>
      <w:r>
        <w:rPr>
          <w:rFonts w:hint="eastAsia"/>
        </w:rPr>
        <w:t>协助解决住房费用权：确立这种权利的意是让面临危险的人</w:t>
      </w:r>
      <w:r>
        <w:rPr>
          <w:rFonts w:hint="eastAsia"/>
        </w:rPr>
        <w:t>(</w:t>
      </w:r>
      <w:r>
        <w:rPr>
          <w:rFonts w:hint="eastAsia"/>
        </w:rPr>
        <w:t>单身者或家庭</w:t>
      </w:r>
      <w:r>
        <w:rPr>
          <w:rFonts w:hint="eastAsia"/>
        </w:rPr>
        <w:t>)</w:t>
      </w:r>
      <w:r>
        <w:rPr>
          <w:rFonts w:hint="eastAsia"/>
        </w:rPr>
        <w:t>能得到帮助，部分或全部解决租房的费用。鉴于这些费用很大程度上取决于所在地区的情况，地方政府单位在其预算中有义务保证根据社会福利法规定的条件拨出提供这种援助的资源；</w:t>
      </w:r>
    </w:p>
    <w:p w:rsidR="00000000" w:rsidRDefault="00000000">
      <w:pPr>
        <w:numPr>
          <w:ilvl w:val="0"/>
          <w:numId w:val="40"/>
        </w:numPr>
        <w:rPr>
          <w:rFonts w:hint="eastAsia"/>
        </w:rPr>
      </w:pPr>
      <w:r>
        <w:rPr>
          <w:rFonts w:hint="eastAsia"/>
        </w:rPr>
        <w:t>一次性援助权：单身者或家庭如经社会福利中心确定，因暂时的不利情况而无法解决其部分或全部基本需要，可提出此种要求。这种援助可以采用金钱或实物的形式，最高时将达到全部满足某些基本需要的数额。鉴于重点放在当时的不利情况方面，这意味着一年给多少次一次性津贴无法事先知道，因为同一家庭依据社会福利中心的调查结果可几次申请这种社会福利。</w:t>
      </w:r>
    </w:p>
    <w:p w:rsidR="00000000" w:rsidRDefault="00000000">
      <w:pPr>
        <w:rPr>
          <w:rFonts w:hint="eastAsia"/>
        </w:rPr>
      </w:pPr>
      <w:r>
        <w:rPr>
          <w:rFonts w:hint="eastAsia"/>
        </w:rPr>
        <w:tab/>
        <w:t xml:space="preserve">223.  </w:t>
      </w:r>
      <w:r>
        <w:rPr>
          <w:rFonts w:hint="eastAsia"/>
        </w:rPr>
        <w:t>处境危险者根据社会福利法规定的条件和根据详细的条例可申请粮食、衣物和鞋类援助，个人长期住宿帮助、解决丧葬费用的帮助和解决燃料费用的帮助。</w:t>
      </w:r>
    </w:p>
    <w:p w:rsidR="00000000" w:rsidRDefault="00000000">
      <w:pPr>
        <w:rPr>
          <w:rFonts w:hint="eastAsia"/>
        </w:rPr>
      </w:pPr>
      <w:r>
        <w:rPr>
          <w:rFonts w:hint="eastAsia"/>
        </w:rPr>
        <w:tab/>
        <w:t xml:space="preserve">224.  </w:t>
      </w:r>
      <w:r>
        <w:rPr>
          <w:rFonts w:hint="eastAsia"/>
        </w:rPr>
        <w:t>根据宪法规定的人人保护老弱病残的义务，残疾人在克罗地亚共和国享受特别保护。附件载有改善残疾人生活质量国家方案。</w:t>
      </w:r>
      <w:r>
        <w:rPr>
          <w:rFonts w:hint="eastAsia"/>
          <w:vertAlign w:val="superscript"/>
        </w:rPr>
        <w:t>*</w:t>
      </w:r>
    </w:p>
    <w:p w:rsidR="00000000" w:rsidRDefault="00000000">
      <w:pPr>
        <w:rPr>
          <w:rFonts w:hint="eastAsia"/>
        </w:rPr>
      </w:pPr>
      <w:r>
        <w:rPr>
          <w:rFonts w:hint="eastAsia"/>
        </w:rPr>
        <w:tab/>
        <w:t xml:space="preserve">225.  </w:t>
      </w:r>
      <w:r>
        <w:rPr>
          <w:rFonts w:hint="eastAsia"/>
        </w:rPr>
        <w:t>我们认为有必要强调除了社会福利中心为保护残疾人的权利、利益和生活尊严而建立的原有保护机构之外，新条例在允许特殊困难情形中为减轻生活负担申请物质福利时也必须考虑这部分居民扩大的特殊需要。</w:t>
      </w:r>
    </w:p>
    <w:p w:rsidR="00000000" w:rsidRDefault="00000000">
      <w:pPr>
        <w:rPr>
          <w:rFonts w:hint="eastAsia"/>
        </w:rPr>
      </w:pPr>
      <w:r>
        <w:rPr>
          <w:rFonts w:hint="eastAsia"/>
        </w:rPr>
        <w:tab/>
        <w:t xml:space="preserve">226.  </w:t>
      </w:r>
      <w:r>
        <w:rPr>
          <w:rFonts w:hint="eastAsia"/>
        </w:rPr>
        <w:t>规定社会福利的权利和形式的目的是满足基本需要，消除使人民社会福利受到威胁的原因，消除减少社会福利的后果，因此克罗地亚共和国也制定了一个人因残疾而可申请享受的具体权利。这些权利包括：</w:t>
      </w:r>
    </w:p>
    <w:p w:rsidR="00000000" w:rsidRDefault="00000000">
      <w:pPr>
        <w:numPr>
          <w:ilvl w:val="0"/>
          <w:numId w:val="41"/>
        </w:numPr>
        <w:rPr>
          <w:rFonts w:hint="eastAsia"/>
        </w:rPr>
      </w:pPr>
      <w:r>
        <w:rPr>
          <w:rFonts w:hint="eastAsia"/>
        </w:rPr>
        <w:t>有能够独立生活资格的权利。通过这项权利，申请人得到职业资格，因此他或她能独立生活和工作或得到额外培训以便能全职从事一些其他适当工作，一切费用均由社会福利资源支付，除非他或她能通过其他途径申请这项权利。此外：</w:t>
      </w:r>
    </w:p>
    <w:p w:rsidR="00000000" w:rsidRDefault="00000000">
      <w:pPr>
        <w:numPr>
          <w:ilvl w:val="0"/>
          <w:numId w:val="48"/>
        </w:numPr>
        <w:ind w:left="1994"/>
        <w:rPr>
          <w:rFonts w:hint="eastAsia"/>
        </w:rPr>
      </w:pPr>
      <w:r>
        <w:rPr>
          <w:rFonts w:hint="eastAsia"/>
        </w:rPr>
        <w:t>如果为了有资格工作和谋生的目的，申请人被派往外地，他或她有权得到财务援助，支付</w:t>
      </w:r>
      <w:r>
        <w:rPr>
          <w:rFonts w:hint="eastAsia"/>
        </w:rPr>
        <w:t>(</w:t>
      </w:r>
      <w:r>
        <w:rPr>
          <w:rFonts w:hint="eastAsia"/>
        </w:rPr>
        <w:t>在一机构或家庭</w:t>
      </w:r>
      <w:r>
        <w:rPr>
          <w:rFonts w:hint="eastAsia"/>
        </w:rPr>
        <w:t>)</w:t>
      </w:r>
      <w:r>
        <w:rPr>
          <w:rFonts w:hint="eastAsia"/>
        </w:rPr>
        <w:t>的膳宿费用和交通费；</w:t>
      </w:r>
    </w:p>
    <w:p w:rsidR="00000000" w:rsidRDefault="00000000">
      <w:pPr>
        <w:numPr>
          <w:ilvl w:val="0"/>
          <w:numId w:val="48"/>
        </w:numPr>
        <w:ind w:left="1994"/>
        <w:rPr>
          <w:rFonts w:hint="eastAsia"/>
        </w:rPr>
      </w:pPr>
      <w:r>
        <w:rPr>
          <w:rFonts w:hint="eastAsia"/>
        </w:rPr>
        <w:t>如果在申请人取得工作和谋生资格后为了雇用他或她而必须为工作改建一些房舍、提供机械、其他手段和设备以及能使申请人适应技术和工作条件，劳工和社会福利部将参与提供上述手段，最多不超过与有关公司签署的合同确定的数额；</w:t>
      </w:r>
    </w:p>
    <w:p w:rsidR="00000000" w:rsidRDefault="00000000">
      <w:pPr>
        <w:numPr>
          <w:ilvl w:val="0"/>
          <w:numId w:val="48"/>
        </w:numPr>
        <w:ind w:left="1994"/>
        <w:rPr>
          <w:rFonts w:hint="eastAsia"/>
        </w:rPr>
      </w:pPr>
      <w:r>
        <w:rPr>
          <w:rFonts w:hint="eastAsia"/>
        </w:rPr>
        <w:t>有些精神或身体残疾或心理障碍的人如果成为能独立工作的人，有权得到财务津贴，直到他们被雇用时为止；</w:t>
      </w:r>
    </w:p>
    <w:p w:rsidR="00000000" w:rsidRDefault="00000000">
      <w:pPr>
        <w:pStyle w:val="a5"/>
        <w:rPr>
          <w:rFonts w:hint="eastAsia"/>
        </w:rPr>
      </w:pPr>
      <w:r>
        <w:rPr>
          <w:rFonts w:hint="eastAsia"/>
        </w:rPr>
        <w:t>(</w:t>
      </w:r>
      <w:r>
        <w:t>b</w:t>
      </w:r>
      <w:r>
        <w:rPr>
          <w:rFonts w:hint="eastAsia"/>
        </w:rPr>
        <w:t>)</w:t>
      </w:r>
      <w:r>
        <w:rPr>
          <w:rFonts w:hint="eastAsia"/>
        </w:rPr>
        <w:tab/>
      </w:r>
      <w:r>
        <w:rPr>
          <w:rFonts w:hint="eastAsia"/>
        </w:rPr>
        <w:t>身体或精神残疾者或有心理障碍者享有有资格独立生活的权利。考虑到残疾的种类、程度和严重性或心理条件的种类或严重性，他们通过一些特别复原方案可以成为能自理的人。此外，申请有资格独立生活并为此原因前往外地的某一机构工作的申请人有权报销膳宿费用；如果他不需要住宿，那么他有权得到支付交通费的财务援助；</w:t>
      </w:r>
    </w:p>
    <w:p w:rsidR="00000000" w:rsidRDefault="00000000">
      <w:pPr>
        <w:pStyle w:val="a5"/>
        <w:rPr>
          <w:rFonts w:hint="eastAsia"/>
        </w:rPr>
      </w:pPr>
      <w:r>
        <w:rPr>
          <w:rFonts w:hint="eastAsia"/>
        </w:rPr>
        <w:t>(</w:t>
      </w:r>
      <w:r>
        <w:t>c</w:t>
      </w:r>
      <w:r>
        <w:rPr>
          <w:rFonts w:hint="eastAsia"/>
        </w:rPr>
        <w:t>)</w:t>
      </w:r>
      <w:r>
        <w:rPr>
          <w:rFonts w:hint="eastAsia"/>
        </w:rPr>
        <w:tab/>
      </w:r>
      <w:r>
        <w:rPr>
          <w:rFonts w:hint="eastAsia"/>
        </w:rPr>
        <w:t>符合下列条件的病人或残疾人享有得到照顾和护理补贴的权利：他或她因健康发生的永久性变化而极其需要他人的长期照顾和护理而又不能通过任何其他途径申请这项权利，可确保享有上述权利。除严重和非常严重残疾者外，只有经过财力测试者方可全部或部分享受这项权利；</w:t>
      </w:r>
    </w:p>
    <w:p w:rsidR="00000000" w:rsidRDefault="00000000">
      <w:pPr>
        <w:pStyle w:val="a5"/>
        <w:rPr>
          <w:rFonts w:hint="eastAsia"/>
        </w:rPr>
      </w:pPr>
      <w:r>
        <w:rPr>
          <w:rFonts w:hint="eastAsia"/>
        </w:rPr>
        <w:t>(</w:t>
      </w:r>
      <w:r>
        <w:t>d</w:t>
      </w:r>
      <w:r>
        <w:rPr>
          <w:rFonts w:hint="eastAsia"/>
        </w:rPr>
        <w:t>)</w:t>
      </w:r>
      <w:r>
        <w:rPr>
          <w:rFonts w:hint="eastAsia"/>
        </w:rPr>
        <w:tab/>
      </w:r>
      <w:r>
        <w:rPr>
          <w:rFonts w:hint="eastAsia"/>
        </w:rPr>
        <w:t>不能独立生活的人可申请家庭照顾和护理，只要他或她因健康发生的变化而不能独立解决关键需要、不能照顾自己、不能通过家庭成员获得这一切并符合条例规定的财力测试条件。</w:t>
      </w:r>
    </w:p>
    <w:p w:rsidR="00000000" w:rsidRDefault="00000000">
      <w:pPr>
        <w:rPr>
          <w:rFonts w:hint="eastAsia"/>
        </w:rPr>
      </w:pPr>
      <w:r>
        <w:rPr>
          <w:rFonts w:hint="eastAsia"/>
        </w:rPr>
        <w:tab/>
        <w:t xml:space="preserve">227.  </w:t>
      </w:r>
      <w:r>
        <w:rPr>
          <w:rFonts w:hint="eastAsia"/>
        </w:rPr>
        <w:t>除了上述情况</w:t>
      </w:r>
      <w:r>
        <w:rPr>
          <w:rFonts w:hint="eastAsia"/>
        </w:rPr>
        <w:t>(</w:t>
      </w:r>
      <w:r>
        <w:rPr>
          <w:rFonts w:hint="eastAsia"/>
        </w:rPr>
        <w:t>为了有资格工作和谋生的目的</w:t>
      </w:r>
      <w:r>
        <w:rPr>
          <w:rFonts w:hint="eastAsia"/>
        </w:rPr>
        <w:t>)</w:t>
      </w:r>
      <w:r>
        <w:rPr>
          <w:rFonts w:hint="eastAsia"/>
        </w:rPr>
        <w:t>外，残疾人如果不能自理和单独从事与其年龄相称的行动和活动，可住在另一家庭或社会福利机构，但就解决基本需要而言，如果符合下列条件则需要依靠另一人解决：他或她没有机会由看护和护理补助、家庭看护和护理或等形式的社会福利援助来满足其社会保护等社会需要，或如果因该残疾人的具体需要，在机构住宿比任何其他形式的社会保护更有效。</w:t>
      </w:r>
    </w:p>
    <w:p w:rsidR="00000000" w:rsidRDefault="00000000">
      <w:pPr>
        <w:rPr>
          <w:rFonts w:hint="eastAsia"/>
        </w:rPr>
      </w:pPr>
      <w:r>
        <w:rPr>
          <w:rFonts w:hint="eastAsia"/>
        </w:rPr>
        <w:tab/>
        <w:t xml:space="preserve">228.  </w:t>
      </w:r>
      <w:r>
        <w:rPr>
          <w:rFonts w:hint="eastAsia"/>
        </w:rPr>
        <w:t>由于意识到残疾除了造成具体问题外，因而也给整个家庭引起不同和更多的需要，新的社会福利法为严重残疾儿童规定了一项新权利</w:t>
      </w:r>
      <w:r>
        <w:rPr>
          <w:rFonts w:hint="eastAsia"/>
          <w:spacing w:val="-40"/>
          <w:sz w:val="22"/>
        </w:rPr>
        <w:t>——</w:t>
      </w:r>
      <w:r>
        <w:rPr>
          <w:sz w:val="22"/>
        </w:rPr>
        <w:t xml:space="preserve"> </w:t>
      </w:r>
      <w:r>
        <w:rPr>
          <w:rFonts w:hint="eastAsia"/>
        </w:rPr>
        <w:t>享受个人残疾津贴权。这项权利仅仅是对严重残疾者的特点和特殊需要的一种承认，其目的是能够让他或她留在自己的家庭。这就是说，我们意识到，这种残疾除了需要为日常生活付出更多的努力外，还意味着额外物质费用，所有这些因素之和常常导致一个家庭被迫将其残疾成员送入机构。这项新规定的权利将消除造成残疾人无法留在自己家庭的基本原因之一。</w:t>
      </w:r>
    </w:p>
    <w:p w:rsidR="00000000" w:rsidRDefault="00000000">
      <w:pPr>
        <w:rPr>
          <w:rFonts w:hint="eastAsia"/>
        </w:rPr>
      </w:pPr>
      <w:r>
        <w:rPr>
          <w:rFonts w:hint="eastAsia"/>
        </w:rPr>
        <w:tab/>
        <w:t xml:space="preserve">229.  </w:t>
      </w:r>
      <w:r>
        <w:rPr>
          <w:rFonts w:hint="eastAsia"/>
        </w:rPr>
        <w:t>除了残疾人能根据社会福利法申请的权利外，我们将提到残疾人根据一些其他条例可申请的一些权利：</w:t>
      </w:r>
    </w:p>
    <w:p w:rsidR="00000000" w:rsidRDefault="00000000">
      <w:pPr>
        <w:numPr>
          <w:ilvl w:val="0"/>
          <w:numId w:val="42"/>
        </w:numPr>
        <w:rPr>
          <w:rFonts w:hint="eastAsia"/>
        </w:rPr>
      </w:pPr>
      <w:r>
        <w:rPr>
          <w:rFonts w:hint="eastAsia"/>
        </w:rPr>
        <w:t>在保健法范围内</w:t>
      </w:r>
      <w:r>
        <w:rPr>
          <w:rFonts w:hint="eastAsia"/>
        </w:rPr>
        <w:t>(</w:t>
      </w:r>
      <w:r>
        <w:rPr>
          <w:rFonts w:hint="eastAsia"/>
        </w:rPr>
        <w:t>官方公报第</w:t>
      </w:r>
      <w:r>
        <w:rPr>
          <w:rFonts w:hint="eastAsia"/>
        </w:rPr>
        <w:t>9/94</w:t>
      </w:r>
      <w:r>
        <w:rPr>
          <w:rFonts w:hint="eastAsia"/>
        </w:rPr>
        <w:t>号</w:t>
      </w:r>
      <w:r>
        <w:rPr>
          <w:rFonts w:hint="eastAsia"/>
        </w:rPr>
        <w:t>)</w:t>
      </w:r>
      <w:r>
        <w:rPr>
          <w:rFonts w:hint="eastAsia"/>
        </w:rPr>
        <w:t>：</w:t>
      </w:r>
    </w:p>
    <w:p w:rsidR="00000000" w:rsidRDefault="00000000">
      <w:pPr>
        <w:pStyle w:val="a2"/>
        <w:numPr>
          <w:ilvl w:val="0"/>
          <w:numId w:val="49"/>
        </w:numPr>
        <w:tabs>
          <w:tab w:val="clear" w:pos="510"/>
          <w:tab w:val="clear" w:pos="1021"/>
          <w:tab w:val="clear" w:pos="2041"/>
          <w:tab w:val="clear" w:pos="8392"/>
          <w:tab w:val="clear" w:pos="9185"/>
        </w:tabs>
        <w:ind w:left="2051" w:right="0"/>
        <w:rPr>
          <w:rFonts w:hint="eastAsia"/>
        </w:rPr>
      </w:pPr>
      <w:r>
        <w:rPr>
          <w:rFonts w:hint="eastAsia"/>
        </w:rPr>
        <w:t>得到矫形和其他援助的权利；</w:t>
      </w:r>
    </w:p>
    <w:p w:rsidR="00000000" w:rsidRDefault="00000000">
      <w:pPr>
        <w:pStyle w:val="a2"/>
        <w:numPr>
          <w:ilvl w:val="0"/>
          <w:numId w:val="49"/>
        </w:numPr>
        <w:tabs>
          <w:tab w:val="clear" w:pos="510"/>
          <w:tab w:val="clear" w:pos="1021"/>
          <w:tab w:val="clear" w:pos="2041"/>
          <w:tab w:val="clear" w:pos="8392"/>
          <w:tab w:val="clear" w:pos="9185"/>
        </w:tabs>
        <w:ind w:left="2051" w:right="0"/>
        <w:rPr>
          <w:rFonts w:hint="eastAsia"/>
        </w:rPr>
      </w:pPr>
      <w:r>
        <w:rPr>
          <w:rFonts w:hint="eastAsia"/>
        </w:rPr>
        <w:t>有权免于承担部分保健保护费，这种费用是由关于投保人参与保健费的决定规定的；</w:t>
      </w:r>
    </w:p>
    <w:p w:rsidR="00000000" w:rsidRDefault="00000000">
      <w:pPr>
        <w:pStyle w:val="a5"/>
        <w:rPr>
          <w:rFonts w:hint="eastAsia"/>
        </w:rPr>
      </w:pPr>
      <w:r>
        <w:rPr>
          <w:rFonts w:hint="eastAsia"/>
        </w:rPr>
        <w:t>(</w:t>
      </w:r>
      <w:r>
        <w:t>b</w:t>
      </w:r>
      <w:r>
        <w:rPr>
          <w:rFonts w:hint="eastAsia"/>
        </w:rPr>
        <w:t>)</w:t>
      </w:r>
      <w:r>
        <w:rPr>
          <w:rFonts w:hint="eastAsia"/>
        </w:rPr>
        <w:tab/>
      </w:r>
      <w:r>
        <w:rPr>
          <w:rFonts w:hint="eastAsia"/>
        </w:rPr>
        <w:t>在海关法范围内</w:t>
      </w:r>
      <w:r>
        <w:t>(</w:t>
      </w:r>
      <w:r>
        <w:rPr>
          <w:rFonts w:hint="eastAsia"/>
        </w:rPr>
        <w:t>官方公报第</w:t>
      </w:r>
      <w:r>
        <w:rPr>
          <w:rFonts w:hint="eastAsia"/>
        </w:rPr>
        <w:t>59A/91</w:t>
      </w:r>
      <w:r>
        <w:rPr>
          <w:rFonts w:hint="eastAsia"/>
        </w:rPr>
        <w:t>、</w:t>
      </w:r>
      <w:r>
        <w:rPr>
          <w:rFonts w:hint="eastAsia"/>
        </w:rPr>
        <w:t>33</w:t>
      </w:r>
      <w:r>
        <w:t>/</w:t>
      </w:r>
      <w:r>
        <w:rPr>
          <w:rFonts w:hint="eastAsia"/>
        </w:rPr>
        <w:t>92</w:t>
      </w:r>
      <w:r>
        <w:rPr>
          <w:rFonts w:hint="eastAsia"/>
        </w:rPr>
        <w:t>、</w:t>
      </w:r>
      <w:r>
        <w:rPr>
          <w:rFonts w:hint="eastAsia"/>
        </w:rPr>
        <w:t>26</w:t>
      </w:r>
      <w:r>
        <w:t>/</w:t>
      </w:r>
      <w:r>
        <w:rPr>
          <w:rFonts w:hint="eastAsia"/>
        </w:rPr>
        <w:t>93</w:t>
      </w:r>
      <w:r>
        <w:rPr>
          <w:rFonts w:hint="eastAsia"/>
        </w:rPr>
        <w:t>、</w:t>
      </w:r>
      <w:r>
        <w:rPr>
          <w:rFonts w:hint="eastAsia"/>
        </w:rPr>
        <w:t>106/93</w:t>
      </w:r>
      <w:r>
        <w:rPr>
          <w:rFonts w:hint="eastAsia"/>
        </w:rPr>
        <w:t>和</w:t>
      </w:r>
      <w:r>
        <w:rPr>
          <w:rFonts w:hint="eastAsia"/>
        </w:rPr>
        <w:t>92/94</w:t>
      </w:r>
      <w:r>
        <w:rPr>
          <w:rFonts w:hint="eastAsia"/>
        </w:rPr>
        <w:t>号</w:t>
      </w:r>
      <w:r>
        <w:rPr>
          <w:rFonts w:hint="eastAsia"/>
        </w:rPr>
        <w:t>)</w:t>
      </w:r>
      <w:r>
        <w:rPr>
          <w:rFonts w:hint="eastAsia"/>
        </w:rPr>
        <w:t>：在进口轿车作为克服残障或其他辅助设备时有权申请免除关税；</w:t>
      </w:r>
    </w:p>
    <w:p w:rsidR="00000000" w:rsidRDefault="00000000">
      <w:pPr>
        <w:pStyle w:val="a5"/>
        <w:rPr>
          <w:rFonts w:hint="eastAsia"/>
        </w:rPr>
      </w:pPr>
      <w:r>
        <w:t>(c)</w:t>
      </w:r>
      <w:r>
        <w:rPr>
          <w:rFonts w:hint="eastAsia"/>
        </w:rPr>
        <w:tab/>
      </w:r>
      <w:r>
        <w:rPr>
          <w:rFonts w:hint="eastAsia"/>
        </w:rPr>
        <w:t>在劳工法范围内</w:t>
      </w:r>
      <w:r>
        <w:rPr>
          <w:rFonts w:hint="eastAsia"/>
        </w:rPr>
        <w:t>(</w:t>
      </w:r>
      <w:r>
        <w:rPr>
          <w:rFonts w:hint="eastAsia"/>
        </w:rPr>
        <w:t>官方公报第</w:t>
      </w:r>
      <w:r>
        <w:rPr>
          <w:rFonts w:hint="eastAsia"/>
        </w:rPr>
        <w:t>38/95</w:t>
      </w:r>
      <w:r>
        <w:rPr>
          <w:rFonts w:hint="eastAsia"/>
        </w:rPr>
        <w:t>、</w:t>
      </w:r>
      <w:r>
        <w:rPr>
          <w:rFonts w:hint="eastAsia"/>
        </w:rPr>
        <w:t>54/95</w:t>
      </w:r>
      <w:r>
        <w:rPr>
          <w:rFonts w:hint="eastAsia"/>
        </w:rPr>
        <w:t>和</w:t>
      </w:r>
      <w:r>
        <w:rPr>
          <w:rFonts w:hint="eastAsia"/>
        </w:rPr>
        <w:t>65/95</w:t>
      </w:r>
      <w:r>
        <w:rPr>
          <w:rFonts w:hint="eastAsia"/>
        </w:rPr>
        <w:t>号</w:t>
      </w:r>
      <w:r>
        <w:rPr>
          <w:rFonts w:hint="eastAsia"/>
        </w:rPr>
        <w:t>)</w:t>
      </w:r>
      <w:r>
        <w:rPr>
          <w:rFonts w:hint="eastAsia"/>
        </w:rPr>
        <w:t>：家长之一有权休假到子女满</w:t>
      </w:r>
      <w:r>
        <w:rPr>
          <w:rFonts w:hint="eastAsia"/>
        </w:rPr>
        <w:t>7</w:t>
      </w:r>
      <w:r>
        <w:rPr>
          <w:rFonts w:hint="eastAsia"/>
        </w:rPr>
        <w:t>足岁或为照看严重残疾子女而工作半天；</w:t>
      </w:r>
    </w:p>
    <w:p w:rsidR="00000000" w:rsidRDefault="00000000">
      <w:pPr>
        <w:pStyle w:val="a5"/>
        <w:rPr>
          <w:rFonts w:hint="eastAsia"/>
        </w:rPr>
      </w:pPr>
      <w:r>
        <w:t>(d)</w:t>
      </w:r>
      <w:r>
        <w:rPr>
          <w:rFonts w:hint="eastAsia"/>
        </w:rPr>
        <w:tab/>
      </w:r>
      <w:r>
        <w:rPr>
          <w:rFonts w:hint="eastAsia"/>
        </w:rPr>
        <w:t>在有关国内乘客交通特权的法令范围内</w:t>
      </w:r>
      <w:r>
        <w:rPr>
          <w:rFonts w:hint="eastAsia"/>
        </w:rPr>
        <w:t>(</w:t>
      </w:r>
      <w:r>
        <w:rPr>
          <w:rFonts w:hint="eastAsia"/>
        </w:rPr>
        <w:t>官方公报第</w:t>
      </w:r>
      <w:r>
        <w:rPr>
          <w:rFonts w:hint="eastAsia"/>
        </w:rPr>
        <w:t>42/98</w:t>
      </w:r>
      <w:r>
        <w:rPr>
          <w:rFonts w:hint="eastAsia"/>
        </w:rPr>
        <w:t>号</w:t>
      </w:r>
      <w:r>
        <w:rPr>
          <w:rFonts w:hint="eastAsia"/>
        </w:rPr>
        <w:t>)</w:t>
      </w:r>
      <w:r>
        <w:rPr>
          <w:rFonts w:hint="eastAsia"/>
        </w:rPr>
        <w:t>：有权在克罗地亚共和国铁路和海洋交通中享受特权；</w:t>
      </w:r>
    </w:p>
    <w:p w:rsidR="00000000" w:rsidRDefault="00000000">
      <w:pPr>
        <w:pStyle w:val="a5"/>
        <w:rPr>
          <w:rFonts w:hint="eastAsia"/>
        </w:rPr>
      </w:pPr>
      <w:r>
        <w:t>(e)</w:t>
      </w:r>
      <w:r>
        <w:rPr>
          <w:rFonts w:hint="eastAsia"/>
        </w:rPr>
        <w:tab/>
      </w:r>
      <w:r>
        <w:rPr>
          <w:rFonts w:hint="eastAsia"/>
        </w:rPr>
        <w:t>根据克罗地亚共和国</w:t>
      </w:r>
      <w:r>
        <w:rPr>
          <w:rFonts w:hint="eastAsia"/>
        </w:rPr>
        <w:t>1993</w:t>
      </w:r>
      <w:r>
        <w:rPr>
          <w:rFonts w:hint="eastAsia"/>
        </w:rPr>
        <w:t>年</w:t>
      </w:r>
      <w:r>
        <w:rPr>
          <w:rFonts w:hint="eastAsia"/>
        </w:rPr>
        <w:t>5</w:t>
      </w:r>
      <w:r>
        <w:rPr>
          <w:rFonts w:hint="eastAsia"/>
        </w:rPr>
        <w:t>月批准的公约，</w:t>
      </w:r>
      <w:r>
        <w:rPr>
          <w:rFonts w:hint="eastAsia"/>
        </w:rPr>
        <w:t>(</w:t>
      </w:r>
      <w:r>
        <w:rPr>
          <w:rFonts w:hint="eastAsia"/>
        </w:rPr>
        <w:t>残疾人</w:t>
      </w:r>
      <w:r>
        <w:rPr>
          <w:rFonts w:hint="eastAsia"/>
        </w:rPr>
        <w:t>)</w:t>
      </w:r>
      <w:r>
        <w:rPr>
          <w:rFonts w:hint="eastAsia"/>
        </w:rPr>
        <w:t>在国际乘客运输中有权享受特权旅行，盲人有一张免费的陪同票；</w:t>
      </w:r>
    </w:p>
    <w:p w:rsidR="00000000" w:rsidRDefault="00000000">
      <w:pPr>
        <w:pStyle w:val="a5"/>
        <w:rPr>
          <w:rFonts w:hint="eastAsia"/>
        </w:rPr>
      </w:pPr>
      <w:r>
        <w:t>(f)</w:t>
      </w:r>
      <w:r>
        <w:rPr>
          <w:rFonts w:hint="eastAsia"/>
        </w:rPr>
        <w:tab/>
      </w:r>
      <w:r>
        <w:rPr>
          <w:rFonts w:hint="eastAsia"/>
        </w:rPr>
        <w:t>在确定哪些职业或工作可聘用因公致残盲人或残疾盲人的法律范围内</w:t>
      </w:r>
      <w:r>
        <w:rPr>
          <w:rFonts w:hint="eastAsia"/>
        </w:rPr>
        <w:t>(</w:t>
      </w:r>
      <w:r>
        <w:rPr>
          <w:rFonts w:hint="eastAsia"/>
        </w:rPr>
        <w:t>官方公报第</w:t>
      </w:r>
      <w:r>
        <w:rPr>
          <w:rFonts w:hint="eastAsia"/>
        </w:rPr>
        <w:t>12/79</w:t>
      </w:r>
      <w:r>
        <w:rPr>
          <w:rFonts w:hint="eastAsia"/>
        </w:rPr>
        <w:t>、</w:t>
      </w:r>
      <w:r>
        <w:rPr>
          <w:rFonts w:hint="eastAsia"/>
        </w:rPr>
        <w:t>31/80</w:t>
      </w:r>
      <w:r>
        <w:rPr>
          <w:rFonts w:hint="eastAsia"/>
        </w:rPr>
        <w:t>、</w:t>
      </w:r>
      <w:r>
        <w:rPr>
          <w:rFonts w:hint="eastAsia"/>
        </w:rPr>
        <w:t>47/89</w:t>
      </w:r>
      <w:r>
        <w:rPr>
          <w:rFonts w:hint="eastAsia"/>
        </w:rPr>
        <w:t>、</w:t>
      </w:r>
      <w:r>
        <w:rPr>
          <w:rFonts w:hint="eastAsia"/>
        </w:rPr>
        <w:t>26/93</w:t>
      </w:r>
      <w:r>
        <w:rPr>
          <w:rFonts w:hint="eastAsia"/>
        </w:rPr>
        <w:t>和</w:t>
      </w:r>
      <w:r>
        <w:rPr>
          <w:rFonts w:hint="eastAsia"/>
        </w:rPr>
        <w:t>29/94</w:t>
      </w:r>
      <w:r>
        <w:rPr>
          <w:rFonts w:hint="eastAsia"/>
        </w:rPr>
        <w:t>号</w:t>
      </w:r>
      <w:r>
        <w:rPr>
          <w:rFonts w:hint="eastAsia"/>
        </w:rPr>
        <w:t>)</w:t>
      </w:r>
      <w:r>
        <w:rPr>
          <w:rFonts w:hint="eastAsia"/>
        </w:rPr>
        <w:t>，规定了盲人在法律规定的就业种类中优先就业的标准和程序。该法详细规定了盲人必须优先予以就业的所有工作</w:t>
      </w:r>
      <w:r>
        <w:rPr>
          <w:rFonts w:hint="eastAsia"/>
        </w:rPr>
        <w:t>(</w:t>
      </w:r>
      <w:r>
        <w:rPr>
          <w:rFonts w:hint="eastAsia"/>
        </w:rPr>
        <w:t>如电话接线员，理疗专家和其他</w:t>
      </w:r>
      <w:r>
        <w:rPr>
          <w:rFonts w:hint="eastAsia"/>
        </w:rPr>
        <w:t>)</w:t>
      </w:r>
      <w:r>
        <w:rPr>
          <w:rFonts w:hint="eastAsia"/>
        </w:rPr>
        <w:t>；</w:t>
      </w:r>
    </w:p>
    <w:p w:rsidR="00000000" w:rsidRDefault="00000000">
      <w:pPr>
        <w:pStyle w:val="a5"/>
        <w:rPr>
          <w:rFonts w:hint="eastAsia"/>
        </w:rPr>
      </w:pPr>
      <w:r>
        <w:t>(g)</w:t>
      </w:r>
      <w:r>
        <w:rPr>
          <w:rFonts w:hint="eastAsia"/>
        </w:rPr>
        <w:tab/>
      </w:r>
      <w:r>
        <w:rPr>
          <w:rFonts w:hint="eastAsia"/>
        </w:rPr>
        <w:t>根据</w:t>
      </w:r>
      <w:r>
        <w:rPr>
          <w:rFonts w:hint="eastAsia"/>
        </w:rPr>
        <w:t>HTV</w:t>
      </w:r>
      <w:r>
        <w:rPr>
          <w:rFonts w:hint="eastAsia"/>
        </w:rPr>
        <w:t>管理委员会的决定，</w:t>
      </w:r>
      <w:r>
        <w:rPr>
          <w:rFonts w:hint="eastAsia"/>
        </w:rPr>
        <w:t>(</w:t>
      </w:r>
      <w:r>
        <w:rPr>
          <w:rFonts w:hint="eastAsia"/>
        </w:rPr>
        <w:t>残疾人</w:t>
      </w:r>
      <w:r>
        <w:rPr>
          <w:rFonts w:hint="eastAsia"/>
        </w:rPr>
        <w:t>)</w:t>
      </w:r>
      <w:r>
        <w:rPr>
          <w:rFonts w:hint="eastAsia"/>
        </w:rPr>
        <w:t>有权免交广播和电视许可费</w:t>
      </w:r>
      <w:r>
        <w:rPr>
          <w:rFonts w:hint="eastAsia"/>
        </w:rPr>
        <w:t>(</w:t>
      </w:r>
      <w:r>
        <w:rPr>
          <w:rFonts w:hint="eastAsia"/>
        </w:rPr>
        <w:t>即收视费</w:t>
      </w:r>
      <w:r>
        <w:rPr>
          <w:rFonts w:hint="eastAsia"/>
        </w:rPr>
        <w:t>)</w:t>
      </w:r>
      <w:r>
        <w:rPr>
          <w:rFonts w:hint="eastAsia"/>
        </w:rPr>
        <w:t>，条件是该盲人是克罗地亚盲人联合会的成员并</w:t>
      </w:r>
      <w:r>
        <w:rPr>
          <w:rFonts w:hint="eastAsia"/>
        </w:rPr>
        <w:t>100%</w:t>
      </w:r>
      <w:r>
        <w:rPr>
          <w:rFonts w:hint="eastAsia"/>
        </w:rPr>
        <w:t>残疾；</w:t>
      </w:r>
    </w:p>
    <w:p w:rsidR="00000000" w:rsidRDefault="00000000">
      <w:pPr>
        <w:pStyle w:val="a5"/>
        <w:spacing w:after="240"/>
        <w:rPr>
          <w:rFonts w:hint="eastAsia"/>
        </w:rPr>
      </w:pPr>
      <w:r>
        <w:t>(h)</w:t>
      </w:r>
      <w:r>
        <w:rPr>
          <w:rFonts w:hint="eastAsia"/>
        </w:rPr>
        <w:tab/>
      </w:r>
      <w:r>
        <w:rPr>
          <w:rFonts w:hint="eastAsia"/>
        </w:rPr>
        <w:t>按国际法注明为盲文的邮件免费投递。</w:t>
      </w:r>
    </w:p>
    <w:p w:rsidR="00000000" w:rsidRDefault="00000000">
      <w:pPr>
        <w:pStyle w:val="Heading4"/>
        <w:jc w:val="center"/>
        <w:rPr>
          <w:rFonts w:hint="eastAsia"/>
        </w:rPr>
      </w:pPr>
      <w:r>
        <w:rPr>
          <w:rFonts w:hint="eastAsia"/>
        </w:rPr>
        <w:t>第</w:t>
      </w:r>
      <w:r>
        <w:t xml:space="preserve"> </w:t>
      </w:r>
      <w:r>
        <w:rPr>
          <w:rFonts w:hint="eastAsia"/>
        </w:rPr>
        <w:t>10</w:t>
      </w:r>
      <w:r>
        <w:t xml:space="preserve"> </w:t>
      </w:r>
      <w:r>
        <w:rPr>
          <w:rFonts w:hint="eastAsia"/>
        </w:rPr>
        <w:t>条</w:t>
      </w:r>
    </w:p>
    <w:p w:rsidR="00000000" w:rsidRDefault="00000000">
      <w:pPr>
        <w:rPr>
          <w:rFonts w:hint="eastAsia"/>
        </w:rPr>
      </w:pPr>
      <w:r>
        <w:rPr>
          <w:rFonts w:hint="eastAsia"/>
        </w:rPr>
        <w:tab/>
        <w:t xml:space="preserve">230.  </w:t>
      </w:r>
      <w:r>
        <w:rPr>
          <w:rFonts w:hint="eastAsia"/>
        </w:rPr>
        <w:t>鉴于克罗地亚共和国是《公民权利和政治权利国际公约》</w:t>
      </w:r>
      <w:r>
        <w:rPr>
          <w:rFonts w:hint="eastAsia"/>
        </w:rPr>
        <w:t>(</w:t>
      </w:r>
      <w:r>
        <w:rPr>
          <w:rFonts w:hint="eastAsia"/>
        </w:rPr>
        <w:t>由大会第</w:t>
      </w:r>
      <w:r>
        <w:rPr>
          <w:rFonts w:hint="eastAsia"/>
        </w:rPr>
        <w:t>2200A(XXI)</w:t>
      </w:r>
      <w:r>
        <w:rPr>
          <w:rFonts w:hint="eastAsia"/>
        </w:rPr>
        <w:t>号决议通过</w:t>
      </w:r>
      <w:r>
        <w:rPr>
          <w:rFonts w:hint="eastAsia"/>
        </w:rPr>
        <w:t>)</w:t>
      </w:r>
      <w:r>
        <w:rPr>
          <w:rFonts w:hint="eastAsia"/>
        </w:rPr>
        <w:t>、《儿童权利公约》</w:t>
      </w:r>
      <w:r>
        <w:rPr>
          <w:rFonts w:hint="eastAsia"/>
        </w:rPr>
        <w:t>(</w:t>
      </w:r>
      <w:r>
        <w:rPr>
          <w:rFonts w:hint="eastAsia"/>
        </w:rPr>
        <w:t>第</w:t>
      </w:r>
      <w:r>
        <w:rPr>
          <w:rFonts w:hint="eastAsia"/>
        </w:rPr>
        <w:t>44/25</w:t>
      </w:r>
      <w:r>
        <w:rPr>
          <w:rFonts w:hint="eastAsia"/>
        </w:rPr>
        <w:t>号决议</w:t>
      </w:r>
      <w:r>
        <w:rPr>
          <w:rFonts w:hint="eastAsia"/>
        </w:rPr>
        <w:t>)</w:t>
      </w:r>
      <w:r>
        <w:rPr>
          <w:rFonts w:hint="eastAsia"/>
        </w:rPr>
        <w:t>和《消除对妇女一切形式歧视公约》</w:t>
      </w:r>
      <w:r>
        <w:rPr>
          <w:rFonts w:hint="eastAsia"/>
        </w:rPr>
        <w:t>(</w:t>
      </w:r>
      <w:r>
        <w:rPr>
          <w:rFonts w:hint="eastAsia"/>
        </w:rPr>
        <w:t>第</w:t>
      </w:r>
      <w:r>
        <w:rPr>
          <w:rFonts w:hint="eastAsia"/>
        </w:rPr>
        <w:t>34/180</w:t>
      </w:r>
      <w:r>
        <w:rPr>
          <w:rFonts w:hint="eastAsia"/>
        </w:rPr>
        <w:t>号决议</w:t>
      </w:r>
      <w:r>
        <w:rPr>
          <w:rFonts w:hint="eastAsia"/>
        </w:rPr>
        <w:t>)</w:t>
      </w:r>
      <w:r>
        <w:rPr>
          <w:rFonts w:hint="eastAsia"/>
        </w:rPr>
        <w:t>以及国际劳工组织</w:t>
      </w:r>
      <w:r>
        <w:rPr>
          <w:rFonts w:hint="eastAsia"/>
        </w:rPr>
        <w:t>1919</w:t>
      </w:r>
      <w:r>
        <w:rPr>
          <w:rFonts w:hint="eastAsia"/>
        </w:rPr>
        <w:t>年《保护产妇公约》</w:t>
      </w:r>
      <w:r>
        <w:rPr>
          <w:rFonts w:hint="eastAsia"/>
        </w:rPr>
        <w:t>(</w:t>
      </w:r>
      <w:r>
        <w:rPr>
          <w:rFonts w:hint="eastAsia"/>
        </w:rPr>
        <w:t>第</w:t>
      </w:r>
      <w:r>
        <w:rPr>
          <w:rFonts w:hint="eastAsia"/>
        </w:rPr>
        <w:t>3</w:t>
      </w:r>
      <w:r>
        <w:rPr>
          <w:rFonts w:hint="eastAsia"/>
        </w:rPr>
        <w:t>号</w:t>
      </w:r>
      <w:r>
        <w:rPr>
          <w:rFonts w:hint="eastAsia"/>
        </w:rPr>
        <w:t>)</w:t>
      </w:r>
      <w:r>
        <w:rPr>
          <w:rFonts w:hint="eastAsia"/>
        </w:rPr>
        <w:t>、</w:t>
      </w:r>
      <w:r>
        <w:rPr>
          <w:rFonts w:hint="eastAsia"/>
        </w:rPr>
        <w:t>1952</w:t>
      </w:r>
      <w:r>
        <w:rPr>
          <w:rFonts w:hint="eastAsia"/>
        </w:rPr>
        <w:t>年《保护产妇公约》</w:t>
      </w:r>
      <w:r>
        <w:rPr>
          <w:rFonts w:hint="eastAsia"/>
        </w:rPr>
        <w:t>(</w:t>
      </w:r>
      <w:r>
        <w:rPr>
          <w:rFonts w:hint="eastAsia"/>
        </w:rPr>
        <w:t>修订本</w:t>
      </w:r>
      <w:r>
        <w:rPr>
          <w:rFonts w:hint="eastAsia"/>
        </w:rPr>
        <w:t>)(</w:t>
      </w:r>
      <w:r>
        <w:rPr>
          <w:rFonts w:hint="eastAsia"/>
        </w:rPr>
        <w:t>第</w:t>
      </w:r>
      <w:r>
        <w:rPr>
          <w:rFonts w:hint="eastAsia"/>
        </w:rPr>
        <w:t>103</w:t>
      </w:r>
      <w:r>
        <w:rPr>
          <w:rFonts w:hint="eastAsia"/>
        </w:rPr>
        <w:t>号</w:t>
      </w:r>
      <w:r>
        <w:rPr>
          <w:rFonts w:hint="eastAsia"/>
        </w:rPr>
        <w:t>)</w:t>
      </w:r>
      <w:r>
        <w:rPr>
          <w:rFonts w:hint="eastAsia"/>
        </w:rPr>
        <w:t>和</w:t>
      </w:r>
      <w:r>
        <w:rPr>
          <w:rFonts w:hint="eastAsia"/>
        </w:rPr>
        <w:t>1973</w:t>
      </w:r>
      <w:r>
        <w:rPr>
          <w:rFonts w:hint="eastAsia"/>
        </w:rPr>
        <w:t>年《最低年龄公约》</w:t>
      </w:r>
      <w:r>
        <w:rPr>
          <w:rFonts w:hint="eastAsia"/>
        </w:rPr>
        <w:t>(</w:t>
      </w:r>
      <w:r>
        <w:rPr>
          <w:rFonts w:hint="eastAsia"/>
        </w:rPr>
        <w:t>劳工组织，第</w:t>
      </w:r>
      <w:r>
        <w:rPr>
          <w:rFonts w:hint="eastAsia"/>
        </w:rPr>
        <w:t>138</w:t>
      </w:r>
      <w:r>
        <w:rPr>
          <w:rFonts w:hint="eastAsia"/>
        </w:rPr>
        <w:t>号</w:t>
      </w:r>
      <w:r>
        <w:rPr>
          <w:rFonts w:hint="eastAsia"/>
        </w:rPr>
        <w:t>)</w:t>
      </w:r>
      <w:r>
        <w:rPr>
          <w:rFonts w:hint="eastAsia"/>
        </w:rPr>
        <w:t>的缔约国并向主管机构提交了这些《公约》执行情况的报告，克罗地亚政府愿提到这些报告各自有关《公约》该条规定的权利的部分。</w:t>
      </w:r>
    </w:p>
    <w:p w:rsidR="00000000" w:rsidRDefault="00000000">
      <w:pPr>
        <w:rPr>
          <w:rFonts w:hint="eastAsia"/>
        </w:rPr>
      </w:pPr>
      <w:r>
        <w:rPr>
          <w:rFonts w:hint="eastAsia"/>
        </w:rPr>
        <w:tab/>
        <w:t xml:space="preserve">231.  </w:t>
      </w:r>
      <w:r>
        <w:rPr>
          <w:rFonts w:hint="eastAsia"/>
        </w:rPr>
        <w:t>克罗地亚共和国法律制度对“家庭”一词没有一个简单的定义。家庭概念有广义或狭义之分，取决于有关家庭成员权利和义务的法律机构的需要和社区向家庭提供社会保护性质的支助采用的福利办法以及国家主要为保护而儿童和其他不能自理的人的权益而对家庭关系的干预。例如，有关社会福利问题的条例对家庭的界定如下：“家庭由生活在一起的配偶、子女和其他亲属组成。”</w:t>
      </w:r>
    </w:p>
    <w:p w:rsidR="00000000" w:rsidRDefault="00000000">
      <w:pPr>
        <w:rPr>
          <w:rFonts w:hint="eastAsia"/>
        </w:rPr>
      </w:pPr>
      <w:r>
        <w:rPr>
          <w:rFonts w:hint="eastAsia"/>
        </w:rPr>
        <w:tab/>
        <w:t xml:space="preserve">232.  </w:t>
      </w:r>
      <w:r>
        <w:rPr>
          <w:rFonts w:hint="eastAsia"/>
        </w:rPr>
        <w:t>根据</w:t>
      </w:r>
      <w:r>
        <w:rPr>
          <w:rFonts w:hint="eastAsia"/>
        </w:rPr>
        <w:t>1991</w:t>
      </w:r>
      <w:r>
        <w:rPr>
          <w:rFonts w:hint="eastAsia"/>
        </w:rPr>
        <w:t>年的人口统计，在</w:t>
      </w:r>
      <w:r>
        <w:rPr>
          <w:rFonts w:hint="eastAsia"/>
        </w:rPr>
        <w:t>1,367,106</w:t>
      </w:r>
      <w:r>
        <w:rPr>
          <w:rFonts w:hint="eastAsia"/>
        </w:rPr>
        <w:t>个家庭中有</w:t>
      </w:r>
      <w:r>
        <w:rPr>
          <w:rFonts w:hint="eastAsia"/>
        </w:rPr>
        <w:t>370,166</w:t>
      </w:r>
      <w:r>
        <w:rPr>
          <w:rFonts w:hint="eastAsia"/>
        </w:rPr>
        <w:t>对无子女夫妇、</w:t>
      </w:r>
      <w:r>
        <w:rPr>
          <w:rFonts w:hint="eastAsia"/>
        </w:rPr>
        <w:t>827,281</w:t>
      </w:r>
      <w:r>
        <w:rPr>
          <w:rFonts w:hint="eastAsia"/>
        </w:rPr>
        <w:t>对有子女夫妇、</w:t>
      </w:r>
      <w:r>
        <w:rPr>
          <w:rFonts w:hint="eastAsia"/>
        </w:rPr>
        <w:t>140,143</w:t>
      </w:r>
      <w:r>
        <w:rPr>
          <w:rFonts w:hint="eastAsia"/>
        </w:rPr>
        <w:t>个单身母亲和</w:t>
      </w:r>
      <w:r>
        <w:rPr>
          <w:rFonts w:hint="eastAsia"/>
        </w:rPr>
        <w:t>29,525</w:t>
      </w:r>
      <w:r>
        <w:rPr>
          <w:rFonts w:hint="eastAsia"/>
        </w:rPr>
        <w:t>个单身父亲。</w:t>
      </w:r>
    </w:p>
    <w:p w:rsidR="00000000" w:rsidRDefault="00000000">
      <w:pPr>
        <w:rPr>
          <w:rFonts w:hint="eastAsia"/>
        </w:rPr>
      </w:pPr>
      <w:r>
        <w:rPr>
          <w:rFonts w:hint="eastAsia"/>
        </w:rPr>
        <w:tab/>
        <w:t>233.</w:t>
      </w:r>
      <w:r>
        <w:rPr>
          <w:rFonts w:hint="eastAsia"/>
        </w:rPr>
        <w:t>根据克罗地亚共和国宪法，家庭地位是根据有关基本人权和公民权利与自由的框架界定的。《宪法》第</w:t>
      </w:r>
      <w:r>
        <w:rPr>
          <w:rFonts w:hint="eastAsia"/>
        </w:rPr>
        <w:t>61</w:t>
      </w:r>
      <w:r>
        <w:rPr>
          <w:rFonts w:hint="eastAsia"/>
        </w:rPr>
        <w:t>条规定，家庭受到共和国的特别保护。对婚姻和婚后、婚外结合和家庭内部的法律关系有立法规定。每个人的个人和家庭生活、其名誉和荣誉受到尊重和法律保护</w:t>
      </w:r>
      <w:r>
        <w:rPr>
          <w:rFonts w:hint="eastAsia"/>
        </w:rPr>
        <w:t>(</w:t>
      </w:r>
      <w:r>
        <w:rPr>
          <w:rFonts w:hint="eastAsia"/>
        </w:rPr>
        <w:t>克罗地亚共和国宪法第</w:t>
      </w:r>
      <w:r>
        <w:rPr>
          <w:rFonts w:hint="eastAsia"/>
        </w:rPr>
        <w:t>35</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234.  </w:t>
      </w:r>
      <w:r>
        <w:rPr>
          <w:rFonts w:hint="eastAsia"/>
        </w:rPr>
        <w:t>家庭法</w:t>
      </w:r>
      <w:r>
        <w:rPr>
          <w:rFonts w:hint="eastAsia"/>
        </w:rPr>
        <w:t>(</w:t>
      </w:r>
      <w:r>
        <w:rPr>
          <w:rFonts w:hint="eastAsia"/>
        </w:rPr>
        <w:t>官方公报，第</w:t>
      </w:r>
      <w:r>
        <w:rPr>
          <w:rFonts w:hint="eastAsia"/>
        </w:rPr>
        <w:t>162/98</w:t>
      </w:r>
      <w:r>
        <w:rPr>
          <w:rFonts w:hint="eastAsia"/>
        </w:rPr>
        <w:t>号</w:t>
      </w:r>
      <w:r>
        <w:rPr>
          <w:rFonts w:hint="eastAsia"/>
        </w:rPr>
        <w:t>)</w:t>
      </w:r>
      <w:r>
        <w:rPr>
          <w:rFonts w:hint="eastAsia"/>
        </w:rPr>
        <w:t>管理婚姻和婚后的关系、父母与子女之间的关系、领养、监护和男女婚外结合的后果。父母和直系亲属对子女和子女对直系父母的对等权利和义务均相同，无论子女是婚生还是非婚生。男女婚外结合引起相互赡养义务和有关财产的其它权利以及根据家庭法规定的条件承担的义务。</w:t>
      </w:r>
    </w:p>
    <w:p w:rsidR="00000000" w:rsidRDefault="00000000">
      <w:pPr>
        <w:rPr>
          <w:rFonts w:hint="eastAsia"/>
        </w:rPr>
      </w:pPr>
      <w:r>
        <w:rPr>
          <w:rFonts w:hint="eastAsia"/>
        </w:rPr>
        <w:tab/>
        <w:t xml:space="preserve">235.  </w:t>
      </w:r>
      <w:r>
        <w:rPr>
          <w:rFonts w:hint="eastAsia"/>
        </w:rPr>
        <w:t>在克罗地亚共和国，满</w:t>
      </w:r>
      <w:r>
        <w:rPr>
          <w:rFonts w:hint="eastAsia"/>
        </w:rPr>
        <w:t>18</w:t>
      </w:r>
      <w:r>
        <w:rPr>
          <w:rFonts w:hint="eastAsia"/>
        </w:rPr>
        <w:t>周岁即为成年人。根据克罗地亚共和国家庭法的规定，年满</w:t>
      </w:r>
      <w:r>
        <w:rPr>
          <w:rFonts w:hint="eastAsia"/>
        </w:rPr>
        <w:t>18</w:t>
      </w:r>
      <w:r>
        <w:rPr>
          <w:rFonts w:hint="eastAsia"/>
        </w:rPr>
        <w:t>岁的人，即成年人才可以结婚，但如果有合理理由，只要法院确定此人身心已经成熟，即可通过非诉讼程序允许年满</w:t>
      </w:r>
      <w:r>
        <w:rPr>
          <w:rFonts w:hint="eastAsia"/>
        </w:rPr>
        <w:t>16</w:t>
      </w:r>
      <w:r>
        <w:rPr>
          <w:rFonts w:hint="eastAsia"/>
        </w:rPr>
        <w:t>岁的人结婚。未成年人如结婚即成为能自己管理自己事务的人。超过</w:t>
      </w:r>
      <w:r>
        <w:rPr>
          <w:rFonts w:hint="eastAsia"/>
        </w:rPr>
        <w:t>16</w:t>
      </w:r>
      <w:r>
        <w:rPr>
          <w:rFonts w:hint="eastAsia"/>
        </w:rPr>
        <w:t>岁的未成年人如果成为父母，如果法院在非诉讼程序中考虑到他或她心理已成熟，裁定他或她已有能力，则也可自己管理自己事务。</w:t>
      </w:r>
    </w:p>
    <w:p w:rsidR="00000000" w:rsidRDefault="00000000">
      <w:pPr>
        <w:rPr>
          <w:rFonts w:hint="eastAsia"/>
        </w:rPr>
      </w:pPr>
      <w:r>
        <w:rPr>
          <w:rFonts w:hint="eastAsia"/>
        </w:rPr>
        <w:tab/>
        <w:t xml:space="preserve">236.  </w:t>
      </w:r>
      <w:r>
        <w:rPr>
          <w:rFonts w:hint="eastAsia"/>
        </w:rPr>
        <w:t>尽管一个人根据上述条件取得成年资格或法律能力，但若干法律条款对儿童表达自己观点和愿望和进行某些法律事务的权利有所规定。</w:t>
      </w:r>
      <w:r>
        <w:rPr>
          <w:rFonts w:hint="eastAsia"/>
        </w:rPr>
        <w:t>16</w:t>
      </w:r>
      <w:r>
        <w:rPr>
          <w:rFonts w:hint="eastAsia"/>
        </w:rPr>
        <w:t>岁以上的未成年人如果能理解承认当父母的声明意味着什么，可以承认自己成为父亲或母亲。</w:t>
      </w:r>
      <w:r>
        <w:rPr>
          <w:rFonts w:hint="eastAsia"/>
        </w:rPr>
        <w:t>14</w:t>
      </w:r>
      <w:r>
        <w:rPr>
          <w:rFonts w:hint="eastAsia"/>
        </w:rPr>
        <w:t>岁儿童如果承认自己成为母亲或父亲时，能理解做父母的意味，则须得到他或她同意承认才可。根据继承法，在克罗地亚共和国，</w:t>
      </w:r>
      <w:r>
        <w:rPr>
          <w:rFonts w:hint="eastAsia"/>
        </w:rPr>
        <w:t>16</w:t>
      </w:r>
      <w:r>
        <w:rPr>
          <w:rFonts w:hint="eastAsia"/>
        </w:rPr>
        <w:t>岁以上的未成年人可以立有效遗嘱和遗言。年满</w:t>
      </w:r>
      <w:r>
        <w:rPr>
          <w:rFonts w:hint="eastAsia"/>
        </w:rPr>
        <w:t>15</w:t>
      </w:r>
      <w:r>
        <w:rPr>
          <w:rFonts w:hint="eastAsia"/>
        </w:rPr>
        <w:t>岁并就业的儿童可以自由支配其收入，但必须部分用于维持自己的生计。根据国籍法，</w:t>
      </w:r>
      <w:r>
        <w:rPr>
          <w:rFonts w:hint="eastAsia"/>
        </w:rPr>
        <w:t>14</w:t>
      </w:r>
      <w:r>
        <w:rPr>
          <w:rFonts w:hint="eastAsia"/>
        </w:rPr>
        <w:t>岁或以上的儿童必须表示同意方可获得或放弃国籍。</w:t>
      </w:r>
    </w:p>
    <w:p w:rsidR="00000000" w:rsidRDefault="00000000">
      <w:pPr>
        <w:rPr>
          <w:rFonts w:hint="eastAsia"/>
        </w:rPr>
      </w:pPr>
      <w:r>
        <w:rPr>
          <w:rFonts w:hint="eastAsia"/>
        </w:rPr>
        <w:tab/>
        <w:t xml:space="preserve">237.  </w:t>
      </w:r>
      <w:r>
        <w:rPr>
          <w:rFonts w:hint="eastAsia"/>
        </w:rPr>
        <w:t>根据家庭法的规定，</w:t>
      </w:r>
      <w:r>
        <w:rPr>
          <w:rFonts w:hint="eastAsia"/>
        </w:rPr>
        <w:t>10</w:t>
      </w:r>
      <w:r>
        <w:rPr>
          <w:rFonts w:hint="eastAsia"/>
        </w:rPr>
        <w:t>岁或以上的儿童在涉及与其地位有关的问题时享有特殊地位，例如：</w:t>
      </w:r>
    </w:p>
    <w:p w:rsidR="00000000" w:rsidRDefault="00000000">
      <w:pPr>
        <w:numPr>
          <w:ilvl w:val="0"/>
          <w:numId w:val="52"/>
        </w:numPr>
        <w:rPr>
          <w:rFonts w:hint="eastAsia"/>
        </w:rPr>
      </w:pPr>
      <w:r>
        <w:rPr>
          <w:rFonts w:hint="eastAsia"/>
        </w:rPr>
        <w:t>在授予儿童监护权的程序中，社会福利中心可以让儿童以合适的方式获得与案情有关的信息，取得咨询意见和表示他或她的意见，这些意见将根据他的年龄、成熟程度和最大利益予以考虑；</w:t>
      </w:r>
    </w:p>
    <w:p w:rsidR="00000000" w:rsidRDefault="00000000">
      <w:pPr>
        <w:numPr>
          <w:ilvl w:val="0"/>
          <w:numId w:val="52"/>
        </w:numPr>
        <w:rPr>
          <w:rFonts w:hint="eastAsia"/>
        </w:rPr>
      </w:pPr>
      <w:r>
        <w:rPr>
          <w:rFonts w:hint="eastAsia"/>
        </w:rPr>
        <w:t>根据人名法，</w:t>
      </w:r>
      <w:r>
        <w:rPr>
          <w:rFonts w:hint="eastAsia"/>
        </w:rPr>
        <w:t>10</w:t>
      </w:r>
      <w:r>
        <w:rPr>
          <w:rFonts w:hint="eastAsia"/>
        </w:rPr>
        <w:t>岁或以上的儿童必须表示同意方可改名</w:t>
      </w:r>
      <w:r>
        <w:rPr>
          <w:rFonts w:hint="eastAsia"/>
        </w:rPr>
        <w:t>(</w:t>
      </w:r>
      <w:r>
        <w:rPr>
          <w:rFonts w:hint="eastAsia"/>
        </w:rPr>
        <w:t>个人名字和</w:t>
      </w:r>
      <w:r>
        <w:rPr>
          <w:rFonts w:hint="eastAsia"/>
        </w:rPr>
        <w:t>/</w:t>
      </w:r>
      <w:r>
        <w:rPr>
          <w:rFonts w:hint="eastAsia"/>
        </w:rPr>
        <w:t>或姓</w:t>
      </w:r>
      <w:r>
        <w:rPr>
          <w:rFonts w:hint="eastAsia"/>
        </w:rPr>
        <w:t>)</w:t>
      </w:r>
      <w:r>
        <w:rPr>
          <w:rFonts w:hint="eastAsia"/>
        </w:rPr>
        <w:t>；</w:t>
      </w:r>
    </w:p>
    <w:p w:rsidR="00000000" w:rsidRDefault="00000000">
      <w:pPr>
        <w:numPr>
          <w:ilvl w:val="0"/>
          <w:numId w:val="52"/>
        </w:numPr>
        <w:rPr>
          <w:rFonts w:hint="eastAsia"/>
        </w:rPr>
      </w:pPr>
      <w:r>
        <w:rPr>
          <w:rFonts w:hint="eastAsia"/>
        </w:rPr>
        <w:t>根据家庭法，领养时，如果被领养者在</w:t>
      </w:r>
      <w:r>
        <w:rPr>
          <w:rFonts w:hint="eastAsia"/>
        </w:rPr>
        <w:t>12</w:t>
      </w:r>
      <w:r>
        <w:rPr>
          <w:rFonts w:hint="eastAsia"/>
        </w:rPr>
        <w:t>岁以上，需征得他或她的同意方可改名改姓，领养父母方可成为父母。</w:t>
      </w:r>
    </w:p>
    <w:p w:rsidR="00000000" w:rsidRDefault="00000000">
      <w:pPr>
        <w:rPr>
          <w:rFonts w:hint="eastAsia"/>
        </w:rPr>
      </w:pPr>
      <w:r>
        <w:rPr>
          <w:rFonts w:hint="eastAsia"/>
        </w:rPr>
        <w:tab/>
        <w:t xml:space="preserve">238.  </w:t>
      </w:r>
      <w:r>
        <w:rPr>
          <w:rFonts w:hint="eastAsia"/>
        </w:rPr>
        <w:t>《宪法》和《家庭法》的规定保证按照男女双方的声明以宗教或世俗仪式庆祝婚姻的权利和自由。为此《家庭法》第</w:t>
      </w:r>
      <w:r>
        <w:rPr>
          <w:rFonts w:hint="eastAsia"/>
        </w:rPr>
        <w:t>24</w:t>
      </w:r>
      <w:r>
        <w:rPr>
          <w:rFonts w:hint="eastAsia"/>
        </w:rPr>
        <w:t>条规定了如下三个婚姻关系成立的必要条件：</w:t>
      </w:r>
    </w:p>
    <w:p w:rsidR="00000000" w:rsidRDefault="00000000">
      <w:pPr>
        <w:numPr>
          <w:ilvl w:val="0"/>
          <w:numId w:val="53"/>
        </w:numPr>
        <w:rPr>
          <w:rFonts w:hint="eastAsia"/>
        </w:rPr>
      </w:pPr>
      <w:r>
        <w:rPr>
          <w:rFonts w:hint="eastAsia"/>
        </w:rPr>
        <w:t>新娘和新郎为不同性别；</w:t>
      </w:r>
    </w:p>
    <w:p w:rsidR="00000000" w:rsidRDefault="00000000">
      <w:pPr>
        <w:numPr>
          <w:ilvl w:val="0"/>
          <w:numId w:val="53"/>
        </w:numPr>
        <w:rPr>
          <w:rFonts w:hint="eastAsia"/>
        </w:rPr>
      </w:pPr>
      <w:r>
        <w:rPr>
          <w:rFonts w:hint="eastAsia"/>
        </w:rPr>
        <w:t>新娘和新郎表示同意结婚；</w:t>
      </w:r>
    </w:p>
    <w:p w:rsidR="00000000" w:rsidRDefault="00000000">
      <w:pPr>
        <w:numPr>
          <w:ilvl w:val="0"/>
          <w:numId w:val="53"/>
        </w:numPr>
        <w:rPr>
          <w:rFonts w:hint="eastAsia"/>
        </w:rPr>
      </w:pPr>
      <w:r>
        <w:rPr>
          <w:rFonts w:hint="eastAsia"/>
        </w:rPr>
        <w:t>在世俗形式中，当着登记人的面庄严宣布结婚或在宗教形式中，当着宗教社区的牧师庄严宣布结婚，但宗教社区在这个问题上已与克罗地亚共和国规定了法律关系并得到主管婚姻的登记人确认有此权力。如果在结婚时，这些条件中的任何一项如不具备，则世俗婚姻就无法律效力。</w:t>
      </w:r>
    </w:p>
    <w:p w:rsidR="00000000" w:rsidRDefault="00000000">
      <w:pPr>
        <w:rPr>
          <w:rFonts w:hint="eastAsia"/>
        </w:rPr>
      </w:pPr>
      <w:r>
        <w:rPr>
          <w:rFonts w:hint="eastAsia"/>
        </w:rPr>
        <w:tab/>
        <w:t xml:space="preserve">239.  </w:t>
      </w:r>
      <w:r>
        <w:rPr>
          <w:rFonts w:hint="eastAsia"/>
        </w:rPr>
        <w:t>《家庭法》规定了婚姻有效的条件。有关结婚年龄限制的上述条文规定一个人如果被宣布为没有能力或没有判断能力，则不能结婚。在特殊情况下，法院可通过非诉讼程序允许这类人结婚，只要法院裁定此人能理解结婚的意义和由此产生的义务，结婚显然符合此人的利益。直系或旁系血缘亲属之间、兄弟姐妹之间、同父异母或同母异父的兄弟姐妹之间、子女与父母的兄弟或姐妹之间、兄弟和姐妹的子女和同父异母或同母异父的兄弟和姐妹的子女之间不能结婚。同样，兄弟和姐妹的孙子孙女</w:t>
      </w:r>
      <w:r>
        <w:rPr>
          <w:rFonts w:hint="eastAsia"/>
        </w:rPr>
        <w:t>(</w:t>
      </w:r>
      <w:r>
        <w:rPr>
          <w:rFonts w:hint="eastAsia"/>
        </w:rPr>
        <w:t>嫡堂兄妹</w:t>
      </w:r>
      <w:r>
        <w:rPr>
          <w:rFonts w:hint="eastAsia"/>
        </w:rPr>
        <w:t>)</w:t>
      </w:r>
      <w:r>
        <w:rPr>
          <w:rFonts w:hint="eastAsia"/>
        </w:rPr>
        <w:t>或同父异母或同母异父的兄弟姐妹的孙子孙女不能结婚。在特殊情况下，如有合理的理由，法院可以通过非诉讼程序允许嫡堂兄妹或同父异母或同母异父的兄弟姐妹的嫡堂兄妹结婚。领养父母与被领养孩子不能结婚；已婚的人不能重婚。违背这些规定的婚姻无效，并将被解除。</w:t>
      </w:r>
    </w:p>
    <w:p w:rsidR="00000000" w:rsidRDefault="00000000">
      <w:pPr>
        <w:rPr>
          <w:rFonts w:hint="eastAsia"/>
        </w:rPr>
      </w:pPr>
      <w:r>
        <w:rPr>
          <w:rFonts w:hint="eastAsia"/>
        </w:rPr>
        <w:tab/>
        <w:t xml:space="preserve">240.  </w:t>
      </w:r>
      <w:r>
        <w:rPr>
          <w:rFonts w:hint="eastAsia"/>
        </w:rPr>
        <w:t>克罗地亚共和国的条例规定了保护家庭的形式和方式，特别是通过《家庭法》和社会福利来保护家庭。</w:t>
      </w:r>
    </w:p>
    <w:p w:rsidR="00000000" w:rsidRDefault="00000000">
      <w:pPr>
        <w:rPr>
          <w:rFonts w:hint="eastAsia"/>
        </w:rPr>
      </w:pPr>
      <w:r>
        <w:rPr>
          <w:rFonts w:hint="eastAsia"/>
        </w:rPr>
        <w:tab/>
        <w:t xml:space="preserve">241.  </w:t>
      </w:r>
      <w:r>
        <w:rPr>
          <w:rFonts w:hint="eastAsia"/>
        </w:rPr>
        <w:t>在保护和维护家庭方面，《家庭法》的规定责成有亲生或领养的未成年人子女的夫妇或是作为监护人的夫妇即使孩子已经成年也要在开始离婚诉讼之前请求社会福利中心进行调解。</w:t>
      </w:r>
    </w:p>
    <w:p w:rsidR="00000000" w:rsidRDefault="00000000">
      <w:pPr>
        <w:rPr>
          <w:rFonts w:hint="eastAsia"/>
        </w:rPr>
      </w:pPr>
      <w:r>
        <w:rPr>
          <w:rFonts w:hint="eastAsia"/>
        </w:rPr>
        <w:tab/>
        <w:t xml:space="preserve">242.  </w:t>
      </w:r>
      <w:r>
        <w:rPr>
          <w:rFonts w:hint="eastAsia"/>
        </w:rPr>
        <w:t>在调解过程中，社会福利中心将询问夫妇导致婚姻破裂的原因、试图消除这些原因和劝说他们和解。中心还将向他们介绍离婚的法律后果，特别是与子女有关的后果。如果夫妇在调解过程中和解，他们在接受调解结果记录之日起的</w:t>
      </w:r>
      <w:r>
        <w:rPr>
          <w:rFonts w:hint="eastAsia"/>
        </w:rPr>
        <w:t>6</w:t>
      </w:r>
      <w:r>
        <w:rPr>
          <w:rFonts w:hint="eastAsia"/>
        </w:rPr>
        <w:t>个月内不得再提出离婚诉讼。</w:t>
      </w:r>
    </w:p>
    <w:p w:rsidR="00000000" w:rsidRDefault="00000000">
      <w:pPr>
        <w:rPr>
          <w:rFonts w:hint="eastAsia"/>
        </w:rPr>
      </w:pPr>
      <w:r>
        <w:rPr>
          <w:rFonts w:hint="eastAsia"/>
        </w:rPr>
        <w:tab/>
        <w:t xml:space="preserve">243.  </w:t>
      </w:r>
      <w:r>
        <w:rPr>
          <w:rFonts w:hint="eastAsia"/>
        </w:rPr>
        <w:t>根据克罗地亚共和国现行条例，按吉卜赛人社区的习俗“结婚”构成婚外结合问题，因为根据吉卜赛人的习俗，缔结这种婚姻的年龄可小到</w:t>
      </w:r>
      <w:r>
        <w:rPr>
          <w:rFonts w:hint="eastAsia"/>
        </w:rPr>
        <w:t>12</w:t>
      </w:r>
      <w:r>
        <w:rPr>
          <w:rFonts w:hint="eastAsia"/>
        </w:rPr>
        <w:t>岁，而根据克罗地亚共和国的条例，这是构成危害儿童的重罪</w:t>
      </w:r>
      <w:r>
        <w:rPr>
          <w:rFonts w:hint="eastAsia"/>
        </w:rPr>
        <w:t>(</w:t>
      </w:r>
      <w:r>
        <w:rPr>
          <w:rFonts w:hint="eastAsia"/>
        </w:rPr>
        <w:t>过去归类为性犯罪</w:t>
      </w:r>
      <w:r>
        <w:rPr>
          <w:rFonts w:hint="eastAsia"/>
        </w:rPr>
        <w:t>)</w:t>
      </w:r>
      <w:r>
        <w:rPr>
          <w:rFonts w:hint="eastAsia"/>
        </w:rPr>
        <w:t>。这种吉卜赛人的婚外结合常常不稳定、容易破裂、而社会又不能通过和解机构帮助他们。从财产法的角度而言，妇女的情况尤其困难。在这种婚姻中，儿童地位问题特别难以解决。</w:t>
      </w:r>
    </w:p>
    <w:p w:rsidR="00000000" w:rsidRDefault="00000000">
      <w:pPr>
        <w:rPr>
          <w:rFonts w:hint="eastAsia"/>
        </w:rPr>
      </w:pPr>
      <w:r>
        <w:rPr>
          <w:rFonts w:hint="eastAsia"/>
        </w:rPr>
        <w:tab/>
        <w:t xml:space="preserve">244.  </w:t>
      </w:r>
      <w:r>
        <w:rPr>
          <w:rFonts w:hint="eastAsia"/>
        </w:rPr>
        <w:t>儿童受到特别的专门保护。克罗地亚共和国宪法规定父母有抚养、负担和教育子女的义务；《家庭法》载有关于儿童权利和父母为实现他们的这些权利而给予关心的规定。最重要的儿童权利是：</w:t>
      </w:r>
    </w:p>
    <w:p w:rsidR="00000000" w:rsidRDefault="00000000">
      <w:pPr>
        <w:numPr>
          <w:ilvl w:val="0"/>
          <w:numId w:val="54"/>
        </w:numPr>
        <w:rPr>
          <w:rFonts w:hint="eastAsia"/>
        </w:rPr>
      </w:pPr>
      <w:r>
        <w:rPr>
          <w:rFonts w:hint="eastAsia"/>
        </w:rPr>
        <w:t>受到健康和生活照顾权；．</w:t>
      </w:r>
    </w:p>
    <w:p w:rsidR="00000000" w:rsidRDefault="00000000">
      <w:pPr>
        <w:numPr>
          <w:ilvl w:val="0"/>
          <w:numId w:val="54"/>
        </w:numPr>
        <w:rPr>
          <w:rFonts w:hint="eastAsia"/>
        </w:rPr>
      </w:pPr>
      <w:r>
        <w:rPr>
          <w:rFonts w:hint="eastAsia"/>
        </w:rPr>
        <w:t>家庭安全保障权和家庭抚养权；</w:t>
      </w:r>
    </w:p>
    <w:p w:rsidR="00000000" w:rsidRDefault="00000000">
      <w:pPr>
        <w:numPr>
          <w:ilvl w:val="0"/>
          <w:numId w:val="54"/>
        </w:numPr>
        <w:rPr>
          <w:rFonts w:hint="eastAsia"/>
        </w:rPr>
      </w:pPr>
      <w:r>
        <w:rPr>
          <w:rFonts w:hint="eastAsia"/>
        </w:rPr>
        <w:t>与父母共同生活权；</w:t>
      </w:r>
    </w:p>
    <w:p w:rsidR="00000000" w:rsidRDefault="00000000">
      <w:pPr>
        <w:numPr>
          <w:ilvl w:val="0"/>
          <w:numId w:val="54"/>
        </w:numPr>
        <w:rPr>
          <w:rFonts w:hint="eastAsia"/>
        </w:rPr>
      </w:pPr>
      <w:r>
        <w:rPr>
          <w:rFonts w:hint="eastAsia"/>
        </w:rPr>
        <w:t>学校和职业选择权。</w:t>
      </w:r>
    </w:p>
    <w:p w:rsidR="00000000" w:rsidRDefault="00000000">
      <w:pPr>
        <w:rPr>
          <w:rFonts w:hint="eastAsia"/>
        </w:rPr>
      </w:pPr>
      <w:r>
        <w:rPr>
          <w:rFonts w:hint="eastAsia"/>
        </w:rPr>
        <w:t>通过这些办法，现行措施得到尊重，说明一般儿童需要得到不同的、更优质和更恰当的保护。这些措施也包含父母与子女之间的关系。</w:t>
      </w:r>
    </w:p>
    <w:p w:rsidR="00000000" w:rsidRDefault="00000000">
      <w:pPr>
        <w:rPr>
          <w:rFonts w:hint="eastAsia"/>
        </w:rPr>
      </w:pPr>
      <w:r>
        <w:rPr>
          <w:rFonts w:hint="eastAsia"/>
        </w:rPr>
        <w:tab/>
        <w:t xml:space="preserve">245.  </w:t>
      </w:r>
      <w:r>
        <w:rPr>
          <w:rFonts w:hint="eastAsia"/>
        </w:rPr>
        <w:t>母亲和父亲平等享有父母权利。父母比任何其他人都更有责任使其子女有可能实现其权利并且有义务：</w:t>
      </w:r>
    </w:p>
    <w:p w:rsidR="00000000" w:rsidRDefault="00000000">
      <w:pPr>
        <w:numPr>
          <w:ilvl w:val="0"/>
          <w:numId w:val="55"/>
        </w:numPr>
        <w:rPr>
          <w:rFonts w:hint="eastAsia"/>
        </w:rPr>
      </w:pPr>
      <w:r>
        <w:rPr>
          <w:rFonts w:hint="eastAsia"/>
        </w:rPr>
        <w:t>照顾子女的生活和健康；</w:t>
      </w:r>
    </w:p>
    <w:p w:rsidR="00000000" w:rsidRDefault="00000000">
      <w:pPr>
        <w:numPr>
          <w:ilvl w:val="0"/>
          <w:numId w:val="55"/>
        </w:numPr>
        <w:rPr>
          <w:rFonts w:hint="eastAsia"/>
        </w:rPr>
      </w:pPr>
      <w:r>
        <w:rPr>
          <w:rFonts w:hint="eastAsia"/>
        </w:rPr>
        <w:t>抚养子女和关心其教育；</w:t>
      </w:r>
    </w:p>
    <w:p w:rsidR="00000000" w:rsidRDefault="00000000">
      <w:pPr>
        <w:numPr>
          <w:ilvl w:val="0"/>
          <w:numId w:val="55"/>
        </w:numPr>
        <w:rPr>
          <w:rFonts w:hint="eastAsia"/>
        </w:rPr>
      </w:pPr>
      <w:r>
        <w:rPr>
          <w:rFonts w:hint="eastAsia"/>
        </w:rPr>
        <w:t>保护子女免遭他人的有辱人格待遇和体罚；</w:t>
      </w:r>
    </w:p>
    <w:p w:rsidR="00000000" w:rsidRDefault="00000000">
      <w:pPr>
        <w:numPr>
          <w:ilvl w:val="0"/>
          <w:numId w:val="55"/>
        </w:numPr>
        <w:rPr>
          <w:rFonts w:hint="eastAsia"/>
        </w:rPr>
      </w:pPr>
      <w:r>
        <w:rPr>
          <w:rFonts w:hint="eastAsia"/>
        </w:rPr>
        <w:t>照看子女和向其提供一切需要并不让学龄前子女在没有成年人照看的情况下独处。</w:t>
      </w:r>
    </w:p>
    <w:p w:rsidR="00000000" w:rsidRDefault="00000000">
      <w:pPr>
        <w:rPr>
          <w:rFonts w:hint="eastAsia"/>
        </w:rPr>
      </w:pPr>
      <w:r>
        <w:rPr>
          <w:rFonts w:hint="eastAsia"/>
        </w:rPr>
        <w:t>父母有权抚养子女，监督其与他人的交往，具体而言，限制年龄在</w:t>
      </w:r>
      <w:r>
        <w:rPr>
          <w:rFonts w:hint="eastAsia"/>
        </w:rPr>
        <w:t>16</w:t>
      </w:r>
      <w:r>
        <w:rPr>
          <w:rFonts w:hint="eastAsia"/>
        </w:rPr>
        <w:t>岁以下的子女在晚上</w:t>
      </w:r>
      <w:r>
        <w:rPr>
          <w:rFonts w:hint="eastAsia"/>
        </w:rPr>
        <w:t>23</w:t>
      </w:r>
      <w:r>
        <w:rPr>
          <w:rFonts w:hint="eastAsia"/>
        </w:rPr>
        <w:t>点和次日凌晨</w:t>
      </w:r>
      <w:r>
        <w:rPr>
          <w:rFonts w:hint="eastAsia"/>
        </w:rPr>
        <w:t>5</w:t>
      </w:r>
      <w:r>
        <w:rPr>
          <w:rFonts w:hint="eastAsia"/>
        </w:rPr>
        <w:t>点之间在没有他们的陪同或他们信任的另一成年人陪同下外出。</w:t>
      </w:r>
    </w:p>
    <w:p w:rsidR="00000000" w:rsidRDefault="00000000">
      <w:pPr>
        <w:rPr>
          <w:rFonts w:hint="eastAsia"/>
        </w:rPr>
      </w:pPr>
      <w:r>
        <w:rPr>
          <w:rFonts w:hint="eastAsia"/>
        </w:rPr>
        <w:tab/>
        <w:t xml:space="preserve">246.  </w:t>
      </w:r>
      <w:r>
        <w:rPr>
          <w:rFonts w:hint="eastAsia"/>
        </w:rPr>
        <w:t>《家庭法》规定法定的赡养义务是父母与子女、已婚配偶和未婚配偶、直系亲属的义务和权利；即他们根据能力和被赡养人的需要相互提供赡养。任何废除赡养权利和义务的做法在法律上无效。必要时，为了保护儿童，国家可根据法律规定通过一系列措施、家庭法保护和落实社会福利保护产生的权利等办法进行干预。</w:t>
      </w:r>
    </w:p>
    <w:p w:rsidR="00000000" w:rsidRDefault="00000000">
      <w:pPr>
        <w:rPr>
          <w:rFonts w:hint="eastAsia"/>
        </w:rPr>
      </w:pPr>
      <w:r>
        <w:rPr>
          <w:rFonts w:hint="eastAsia"/>
        </w:rPr>
        <w:tab/>
        <w:t xml:space="preserve">247.  </w:t>
      </w:r>
      <w:r>
        <w:rPr>
          <w:rFonts w:hint="eastAsia"/>
        </w:rPr>
        <w:t>如果父母作出损害儿童利益的行为，社会福利部门或法院将根据法律进行干预，采取适当的家庭法保护措施；如果法律假定成立，法庭则增加、限制或取消看护和监护权。《家庭法》规定了下列家庭法保护措施：</w:t>
      </w:r>
    </w:p>
    <w:p w:rsidR="00000000" w:rsidRDefault="00000000">
      <w:pPr>
        <w:pStyle w:val="a3"/>
        <w:numPr>
          <w:ilvl w:val="0"/>
          <w:numId w:val="56"/>
        </w:numPr>
        <w:tabs>
          <w:tab w:val="clear" w:pos="510"/>
          <w:tab w:val="clear" w:pos="1021"/>
          <w:tab w:val="clear" w:pos="2041"/>
          <w:tab w:val="clear" w:pos="6804"/>
          <w:tab w:val="clear" w:pos="7371"/>
          <w:tab w:val="clear" w:pos="7541"/>
          <w:tab w:val="clear" w:pos="7711"/>
          <w:tab w:val="clear" w:pos="9185"/>
        </w:tabs>
        <w:ind w:right="0"/>
        <w:rPr>
          <w:rFonts w:hint="eastAsia"/>
        </w:rPr>
      </w:pPr>
      <w:r>
        <w:rPr>
          <w:rFonts w:hint="eastAsia"/>
        </w:rPr>
        <w:t>向父母提出照顾和抚养子女方面的错误和缺陷；</w:t>
      </w:r>
    </w:p>
    <w:p w:rsidR="00000000" w:rsidRDefault="00000000">
      <w:pPr>
        <w:pStyle w:val="a3"/>
        <w:numPr>
          <w:ilvl w:val="0"/>
          <w:numId w:val="56"/>
        </w:numPr>
        <w:tabs>
          <w:tab w:val="clear" w:pos="510"/>
          <w:tab w:val="clear" w:pos="1021"/>
          <w:tab w:val="clear" w:pos="2041"/>
          <w:tab w:val="clear" w:pos="6804"/>
          <w:tab w:val="clear" w:pos="7371"/>
          <w:tab w:val="clear" w:pos="7541"/>
          <w:tab w:val="clear" w:pos="7711"/>
          <w:tab w:val="clear" w:pos="9185"/>
        </w:tabs>
        <w:ind w:right="0"/>
        <w:rPr>
          <w:rFonts w:hint="eastAsia"/>
        </w:rPr>
      </w:pPr>
      <w:r>
        <w:rPr>
          <w:rFonts w:hint="eastAsia"/>
        </w:rPr>
        <w:t>对父母照料情况实行监督；</w:t>
      </w:r>
    </w:p>
    <w:p w:rsidR="00000000" w:rsidRDefault="00000000">
      <w:pPr>
        <w:pStyle w:val="a3"/>
        <w:numPr>
          <w:ilvl w:val="0"/>
          <w:numId w:val="56"/>
        </w:numPr>
        <w:tabs>
          <w:tab w:val="clear" w:pos="510"/>
          <w:tab w:val="clear" w:pos="1021"/>
          <w:tab w:val="clear" w:pos="2041"/>
          <w:tab w:val="clear" w:pos="6804"/>
          <w:tab w:val="clear" w:pos="7371"/>
          <w:tab w:val="clear" w:pos="7541"/>
          <w:tab w:val="clear" w:pos="7711"/>
          <w:tab w:val="clear" w:pos="9185"/>
        </w:tabs>
        <w:ind w:right="0"/>
        <w:rPr>
          <w:rFonts w:hint="eastAsia"/>
        </w:rPr>
      </w:pPr>
      <w:r>
        <w:rPr>
          <w:rFonts w:hint="eastAsia"/>
        </w:rPr>
        <w:t>取消父母与子女同住和抚养子女的权利；</w:t>
      </w:r>
    </w:p>
    <w:p w:rsidR="00000000" w:rsidRDefault="00000000">
      <w:pPr>
        <w:pStyle w:val="a3"/>
        <w:numPr>
          <w:ilvl w:val="0"/>
          <w:numId w:val="56"/>
        </w:numPr>
        <w:tabs>
          <w:tab w:val="clear" w:pos="510"/>
          <w:tab w:val="clear" w:pos="1021"/>
          <w:tab w:val="clear" w:pos="2041"/>
          <w:tab w:val="clear" w:pos="6804"/>
          <w:tab w:val="clear" w:pos="7371"/>
          <w:tab w:val="clear" w:pos="7541"/>
          <w:tab w:val="clear" w:pos="7711"/>
          <w:tab w:val="clear" w:pos="9185"/>
        </w:tabs>
        <w:ind w:right="0"/>
        <w:rPr>
          <w:rFonts w:hint="eastAsia"/>
        </w:rPr>
      </w:pPr>
      <w:r>
        <w:rPr>
          <w:rFonts w:hint="eastAsia"/>
        </w:rPr>
        <w:t>将其家庭内发生异常行为的子女送往社会福利机构；</w:t>
      </w:r>
    </w:p>
    <w:p w:rsidR="00000000" w:rsidRDefault="00000000">
      <w:pPr>
        <w:pStyle w:val="a3"/>
        <w:numPr>
          <w:ilvl w:val="0"/>
          <w:numId w:val="56"/>
        </w:numPr>
        <w:tabs>
          <w:tab w:val="clear" w:pos="510"/>
          <w:tab w:val="clear" w:pos="1021"/>
          <w:tab w:val="clear" w:pos="2041"/>
          <w:tab w:val="clear" w:pos="6804"/>
          <w:tab w:val="clear" w:pos="7371"/>
          <w:tab w:val="clear" w:pos="7541"/>
          <w:tab w:val="clear" w:pos="7711"/>
          <w:tab w:val="clear" w:pos="9185"/>
        </w:tabs>
        <w:ind w:right="0"/>
        <w:rPr>
          <w:rFonts w:hint="eastAsia"/>
        </w:rPr>
      </w:pPr>
      <w:r>
        <w:rPr>
          <w:rFonts w:hint="eastAsia"/>
        </w:rPr>
        <w:t>取消父母照料和监护权。</w:t>
      </w:r>
    </w:p>
    <w:p w:rsidR="00000000" w:rsidRDefault="00000000">
      <w:pPr>
        <w:rPr>
          <w:rFonts w:hint="eastAsia"/>
        </w:rPr>
      </w:pPr>
      <w:r>
        <w:rPr>
          <w:rFonts w:hint="eastAsia"/>
        </w:rPr>
        <w:tab/>
        <w:t xml:space="preserve">248.  </w:t>
      </w:r>
      <w:r>
        <w:rPr>
          <w:rFonts w:hint="eastAsia"/>
        </w:rPr>
        <w:t>前两项措施属防范性质，采取这种措施只是加强父母的照料；而其它措施的执行旨在将儿童与父母隔开和以此方式限制或取消父母的照料权。</w:t>
      </w:r>
    </w:p>
    <w:p w:rsidR="00000000" w:rsidRDefault="00000000">
      <w:pPr>
        <w:rPr>
          <w:rFonts w:hint="eastAsia"/>
        </w:rPr>
      </w:pPr>
      <w:r>
        <w:rPr>
          <w:rFonts w:hint="eastAsia"/>
        </w:rPr>
        <w:tab/>
        <w:t xml:space="preserve">249.  </w:t>
      </w:r>
      <w:r>
        <w:rPr>
          <w:rFonts w:hint="eastAsia"/>
        </w:rPr>
        <w:t>《家庭法》的新规定是禁止家庭内无论是配偶还是任何成年人的暴力行为；如果发生此种行为，家庭法将对行为不端者处以</w:t>
      </w:r>
      <w:r>
        <w:rPr>
          <w:rFonts w:hint="eastAsia"/>
        </w:rPr>
        <w:t>30</w:t>
      </w:r>
      <w:r>
        <w:rPr>
          <w:rFonts w:hint="eastAsia"/>
        </w:rPr>
        <w:t>天监禁处罚。</w:t>
      </w:r>
    </w:p>
    <w:p w:rsidR="00000000" w:rsidRDefault="00000000">
      <w:pPr>
        <w:rPr>
          <w:rFonts w:hint="eastAsia"/>
        </w:rPr>
      </w:pPr>
      <w:r>
        <w:rPr>
          <w:rFonts w:hint="eastAsia"/>
        </w:rPr>
        <w:tab/>
        <w:t xml:space="preserve">250.  </w:t>
      </w:r>
      <w:r>
        <w:rPr>
          <w:rFonts w:hint="eastAsia"/>
        </w:rPr>
        <w:t>母亲和青年人有权在工作上受到特别保护</w:t>
      </w:r>
      <w:r>
        <w:rPr>
          <w:rFonts w:hint="eastAsia"/>
        </w:rPr>
        <w:t>(</w:t>
      </w:r>
      <w:r>
        <w:rPr>
          <w:rFonts w:hint="eastAsia"/>
        </w:rPr>
        <w:t>《宪法》第</w:t>
      </w:r>
      <w:r>
        <w:rPr>
          <w:rFonts w:hint="eastAsia"/>
        </w:rPr>
        <w:t>64</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251.  </w:t>
      </w:r>
      <w:r>
        <w:rPr>
          <w:rFonts w:hint="eastAsia"/>
        </w:rPr>
        <w:t>保护母亲的措施包括就业妇女在克罗地亚共和国根据劳工法享有的权利和自谋职业的妇女、女商人、女农民、从事其它工作的妇女以及失业母亲和退休母亲根据产假</w:t>
      </w:r>
      <w:r>
        <w:rPr>
          <w:rFonts w:hint="eastAsia"/>
        </w:rPr>
        <w:t>(</w:t>
      </w:r>
      <w:r>
        <w:rPr>
          <w:rFonts w:hint="eastAsia"/>
        </w:rPr>
        <w:t>自谋职业和失业母亲</w:t>
      </w:r>
      <w:r>
        <w:rPr>
          <w:rFonts w:hint="eastAsia"/>
        </w:rPr>
        <w:t>)</w:t>
      </w:r>
      <w:r>
        <w:rPr>
          <w:rFonts w:hint="eastAsia"/>
        </w:rPr>
        <w:t>法享有的权利。保护母亲包括在职妇女因有生育功能而予以的保护和与妊娠、分娩和照看儿童有关的保护和权利。</w:t>
      </w:r>
    </w:p>
    <w:p w:rsidR="00000000" w:rsidRDefault="00000000">
      <w:pPr>
        <w:rPr>
          <w:rFonts w:hint="eastAsia"/>
        </w:rPr>
      </w:pPr>
      <w:r>
        <w:rPr>
          <w:rFonts w:hint="eastAsia"/>
        </w:rPr>
        <w:tab/>
        <w:t xml:space="preserve">252.  </w:t>
      </w:r>
      <w:r>
        <w:rPr>
          <w:rFonts w:hint="eastAsia"/>
        </w:rPr>
        <w:t>我们提出了与《公约》第</w:t>
      </w:r>
      <w:r>
        <w:rPr>
          <w:rFonts w:hint="eastAsia"/>
        </w:rPr>
        <w:t>7</w:t>
      </w:r>
      <w:r>
        <w:rPr>
          <w:rFonts w:hint="eastAsia"/>
        </w:rPr>
        <w:t>条有关的保护在职妇女的报告。对在职妇女的全面保护如系保护孕妇或乳婴妇女的性质则予以加强。</w:t>
      </w:r>
    </w:p>
    <w:p w:rsidR="00000000" w:rsidRDefault="00000000">
      <w:pPr>
        <w:rPr>
          <w:rFonts w:hint="eastAsia"/>
        </w:rPr>
      </w:pPr>
      <w:r>
        <w:rPr>
          <w:rFonts w:hint="eastAsia"/>
        </w:rPr>
        <w:tab/>
        <w:t xml:space="preserve">253.  </w:t>
      </w:r>
      <w:r>
        <w:rPr>
          <w:rFonts w:hint="eastAsia"/>
        </w:rPr>
        <w:t>有关不得雇用妇女的工作的条例包括不得雇用怀孕或乳婴妇女的工作、有害母亲生命或健康或儿童生命或健康的工作。</w:t>
      </w:r>
    </w:p>
    <w:p w:rsidR="00000000" w:rsidRDefault="00000000">
      <w:pPr>
        <w:rPr>
          <w:rFonts w:hint="eastAsia"/>
        </w:rPr>
      </w:pPr>
      <w:r>
        <w:rPr>
          <w:rFonts w:hint="eastAsia"/>
        </w:rPr>
        <w:tab/>
        <w:t xml:space="preserve">254.  </w:t>
      </w:r>
      <w:r>
        <w:rPr>
          <w:rFonts w:hint="eastAsia"/>
        </w:rPr>
        <w:t>因此，妊娠期间妇女不可从事下列各项工作：消防工作、高空作业、在不利的微气候下从事的工作、在噪音或震动环境下从事的工作、在高压下从事的工作和工人要暴露于下列情形的工作：电离子腐蚀和微波辐射、铅烟及其无机化合物、四乙铅、汞气和汞化合物尘埃、锰及其化合物的尘埃和烟、铀及其化合物、氟化物及其化合物、二硫化碳、烃卤衍生物、苯和其他同源物质、硝基苯和氨基苯、生产和加工人造树脂和塑料的化学和其他物质、以氯化碳氢化合物为原料的农药和生物剂、以及各种病毒：乙型肝炎、疱疹、大细胞、水痘、风疹、艾滋病病毒以及李司态氏和弓形体细菌。</w:t>
      </w:r>
    </w:p>
    <w:p w:rsidR="00000000" w:rsidRDefault="00000000">
      <w:pPr>
        <w:rPr>
          <w:rFonts w:hint="eastAsia"/>
        </w:rPr>
      </w:pPr>
      <w:r>
        <w:rPr>
          <w:rFonts w:hint="eastAsia"/>
        </w:rPr>
        <w:tab/>
        <w:t xml:space="preserve">255.  </w:t>
      </w:r>
      <w:r>
        <w:rPr>
          <w:rFonts w:hint="eastAsia"/>
        </w:rPr>
        <w:t>用母乳喂婴儿的妇女尤其不得从事使她暴露于下列情形的工作：铅及其化合物的尘埃、烟和气、烃卤衍生物、以氯化碳氢化合物为原料的农药。</w:t>
      </w:r>
    </w:p>
    <w:p w:rsidR="00000000" w:rsidRDefault="00000000">
      <w:pPr>
        <w:rPr>
          <w:rFonts w:hint="eastAsia"/>
        </w:rPr>
      </w:pPr>
      <w:r>
        <w:rPr>
          <w:rFonts w:hint="eastAsia"/>
        </w:rPr>
        <w:tab/>
        <w:t xml:space="preserve">256.  </w:t>
      </w:r>
      <w:r>
        <w:rPr>
          <w:rFonts w:hint="eastAsia"/>
        </w:rPr>
        <w:t>如果一妇女的确从事危及到她或婴儿的生命和健康的工作，雇主必须给她调换另一适当工作。如果雇主与孕妇或乳婴母亲就调换哪种工作合适达不成协议，仅授权医生能够判断此种调换是否恰当。孕妇或乳婴母亲临时调换工作不得遭致削减工资的后果；这种调换未经同意也不得变为到异地工作。</w:t>
      </w:r>
    </w:p>
    <w:p w:rsidR="00000000" w:rsidRDefault="00000000">
      <w:pPr>
        <w:rPr>
          <w:rFonts w:hint="eastAsia"/>
        </w:rPr>
      </w:pPr>
      <w:r>
        <w:rPr>
          <w:rFonts w:hint="eastAsia"/>
        </w:rPr>
        <w:tab/>
        <w:t xml:space="preserve">257.  </w:t>
      </w:r>
      <w:r>
        <w:rPr>
          <w:rFonts w:hint="eastAsia"/>
        </w:rPr>
        <w:t>一般可以预计得到，那些称为小业主的人，即雇员在五人或五人以下的雇主，不能适当地重新安置孕妇或乳婴妇女，这种妇女有权根据特殊规则享受有工资补偿的假期。有关孕妇或乳婴母亲申请假期权利的条件和程序的规章规定了有关可申请这种假期的程序和条件。</w:t>
      </w:r>
    </w:p>
    <w:p w:rsidR="00000000" w:rsidRDefault="00000000">
      <w:pPr>
        <w:rPr>
          <w:rFonts w:hint="eastAsia"/>
        </w:rPr>
      </w:pPr>
      <w:r>
        <w:rPr>
          <w:rFonts w:hint="eastAsia"/>
        </w:rPr>
        <w:tab/>
        <w:t xml:space="preserve">258.  </w:t>
      </w:r>
      <w:r>
        <w:rPr>
          <w:rFonts w:hint="eastAsia"/>
        </w:rPr>
        <w:t>根据劳工法的规定，就业妇女在妊娠、分娩和婴儿护理期间有权享受产假</w:t>
      </w:r>
      <w:r>
        <w:rPr>
          <w:rFonts w:hint="eastAsia"/>
        </w:rPr>
        <w:t>(</w:t>
      </w:r>
      <w:r>
        <w:rPr>
          <w:rFonts w:hint="eastAsia"/>
        </w:rPr>
        <w:t>劳工法第</w:t>
      </w:r>
      <w:r>
        <w:rPr>
          <w:rFonts w:hint="eastAsia"/>
        </w:rPr>
        <w:t>58</w:t>
      </w:r>
      <w:r>
        <w:rPr>
          <w:rFonts w:hint="eastAsia"/>
        </w:rPr>
        <w:t>条</w:t>
      </w:r>
      <w:r>
        <w:rPr>
          <w:rFonts w:hint="eastAsia"/>
        </w:rPr>
        <w:t>)</w:t>
      </w:r>
      <w:r>
        <w:rPr>
          <w:rFonts w:hint="eastAsia"/>
        </w:rPr>
        <w:t>。就业妇女可在</w:t>
      </w:r>
      <w:r>
        <w:rPr>
          <w:rFonts w:hint="eastAsia"/>
        </w:rPr>
        <w:t>(</w:t>
      </w:r>
      <w:r>
        <w:rPr>
          <w:rFonts w:hint="eastAsia"/>
        </w:rPr>
        <w:t>有关医生确定的</w:t>
      </w:r>
      <w:r>
        <w:rPr>
          <w:rFonts w:hint="eastAsia"/>
        </w:rPr>
        <w:t>)</w:t>
      </w:r>
      <w:r>
        <w:rPr>
          <w:rFonts w:hint="eastAsia"/>
        </w:rPr>
        <w:t>预产期</w:t>
      </w:r>
      <w:r>
        <w:rPr>
          <w:rFonts w:hint="eastAsia"/>
        </w:rPr>
        <w:t>45</w:t>
      </w:r>
      <w:r>
        <w:rPr>
          <w:rFonts w:hint="eastAsia"/>
        </w:rPr>
        <w:t>天之前开始休此假并可一直休到婴儿满一足岁为止，如果生双包胎和此后出生的每个婴儿，可以一直休到婴儿满三足岁为止。就业妇女必须在从分娩前的第</w:t>
      </w:r>
      <w:r>
        <w:rPr>
          <w:rFonts w:hint="eastAsia"/>
        </w:rPr>
        <w:t>28</w:t>
      </w:r>
      <w:r>
        <w:rPr>
          <w:rFonts w:hint="eastAsia"/>
        </w:rPr>
        <w:t>天至婴儿</w:t>
      </w:r>
      <w:r>
        <w:rPr>
          <w:rFonts w:hint="eastAsia"/>
        </w:rPr>
        <w:t>6</w:t>
      </w:r>
      <w:r>
        <w:rPr>
          <w:rFonts w:hint="eastAsia"/>
        </w:rPr>
        <w:t>个月的期间休产假</w:t>
      </w:r>
      <w:r>
        <w:rPr>
          <w:rFonts w:hint="eastAsia"/>
        </w:rPr>
        <w:t>(</w:t>
      </w:r>
      <w:r>
        <w:rPr>
          <w:rFonts w:hint="eastAsia"/>
        </w:rPr>
        <w:t>义务产假</w:t>
      </w:r>
      <w:r>
        <w:rPr>
          <w:rFonts w:hint="eastAsia"/>
        </w:rPr>
        <w:t>)</w:t>
      </w:r>
      <w:r>
        <w:rPr>
          <w:rFonts w:hint="eastAsia"/>
        </w:rPr>
        <w:t>。如果婴儿早产，产假</w:t>
      </w:r>
      <w:r>
        <w:rPr>
          <w:rFonts w:hint="eastAsia"/>
        </w:rPr>
        <w:t>(</w:t>
      </w:r>
      <w:r>
        <w:rPr>
          <w:rFonts w:hint="eastAsia"/>
        </w:rPr>
        <w:t>不仅仅是义务部分</w:t>
      </w:r>
      <w:r>
        <w:rPr>
          <w:rFonts w:hint="eastAsia"/>
        </w:rPr>
        <w:t>)</w:t>
      </w:r>
      <w:r>
        <w:rPr>
          <w:rFonts w:hint="eastAsia"/>
        </w:rPr>
        <w:t>就予以延长，加上婴儿早产的那段时间。就业妇女在特殊情况下有权自己要求在婴儿满</w:t>
      </w:r>
      <w:r>
        <w:rPr>
          <w:rFonts w:hint="eastAsia"/>
        </w:rPr>
        <w:t>6</w:t>
      </w:r>
      <w:r>
        <w:rPr>
          <w:rFonts w:hint="eastAsia"/>
        </w:rPr>
        <w:t>个月之前复工，但不得早于分娩后的</w:t>
      </w:r>
      <w:r>
        <w:rPr>
          <w:rFonts w:hint="eastAsia"/>
        </w:rPr>
        <w:t>42</w:t>
      </w:r>
      <w:r>
        <w:rPr>
          <w:rFonts w:hint="eastAsia"/>
        </w:rPr>
        <w:t>天之前。义务产假到期后，如果父母同意，产假</w:t>
      </w:r>
      <w:r>
        <w:rPr>
          <w:rFonts w:hint="eastAsia"/>
        </w:rPr>
        <w:t>(</w:t>
      </w:r>
      <w:r>
        <w:rPr>
          <w:rFonts w:hint="eastAsia"/>
        </w:rPr>
        <w:t>即分娩假</w:t>
      </w:r>
      <w:r>
        <w:rPr>
          <w:rFonts w:hint="eastAsia"/>
        </w:rPr>
        <w:t>)</w:t>
      </w:r>
      <w:r>
        <w:rPr>
          <w:rFonts w:hint="eastAsia"/>
        </w:rPr>
        <w:t>权可由婴儿父亲行使。</w:t>
      </w:r>
    </w:p>
    <w:p w:rsidR="00000000" w:rsidRDefault="00000000">
      <w:pPr>
        <w:rPr>
          <w:rFonts w:hint="eastAsia"/>
        </w:rPr>
      </w:pPr>
      <w:r>
        <w:rPr>
          <w:rFonts w:hint="eastAsia"/>
        </w:rPr>
        <w:tab/>
        <w:t xml:space="preserve">259.  </w:t>
      </w:r>
      <w:r>
        <w:rPr>
          <w:rFonts w:hint="eastAsia"/>
        </w:rPr>
        <w:t>如果就业妇女分娩死婴或婴儿在产假结束前死亡，她有权根据有关医生的调查结果和意见继续休产假，帮助她恢复产后和丧儿造成的心理打击，至少休满</w:t>
      </w:r>
      <w:r>
        <w:rPr>
          <w:rFonts w:hint="eastAsia"/>
        </w:rPr>
        <w:t>45</w:t>
      </w:r>
      <w:r>
        <w:rPr>
          <w:rFonts w:hint="eastAsia"/>
        </w:rPr>
        <w:t>天。在此期间，她可以要求享受产假应有的一切权利</w:t>
      </w:r>
      <w:r>
        <w:rPr>
          <w:rFonts w:hint="eastAsia"/>
        </w:rPr>
        <w:t>(</w:t>
      </w:r>
      <w:r>
        <w:rPr>
          <w:rFonts w:hint="eastAsia"/>
        </w:rPr>
        <w:t>劳工法第</w:t>
      </w:r>
      <w:r>
        <w:rPr>
          <w:rFonts w:hint="eastAsia"/>
        </w:rPr>
        <w:t>64</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260.  </w:t>
      </w:r>
      <w:r>
        <w:rPr>
          <w:rFonts w:hint="eastAsia"/>
        </w:rPr>
        <w:t>义务产假期满后，就业妇女有权上半班，直到婴儿一足岁为止，双包胎和此后所生的每一个婴儿，则到三周岁为止。如果婴儿母亲在此期间全日工作，那么上半班的权利可由婴儿的父亲享受。</w:t>
      </w:r>
    </w:p>
    <w:p w:rsidR="00000000" w:rsidRDefault="00000000">
      <w:pPr>
        <w:rPr>
          <w:rFonts w:hint="eastAsia"/>
        </w:rPr>
      </w:pPr>
      <w:r>
        <w:rPr>
          <w:rFonts w:hint="eastAsia"/>
        </w:rPr>
        <w:tab/>
        <w:t xml:space="preserve">261.  </w:t>
      </w:r>
      <w:r>
        <w:rPr>
          <w:rFonts w:hint="eastAsia"/>
        </w:rPr>
        <w:t>如果有关医生认为婴儿第一个生日后，为了其健康和成长需要增加护理，父母之一根据健康保险规则有权上半班，直到婴儿三周岁为止。</w:t>
      </w:r>
    </w:p>
    <w:p w:rsidR="00000000" w:rsidRDefault="00000000">
      <w:pPr>
        <w:rPr>
          <w:rFonts w:hint="eastAsia"/>
        </w:rPr>
      </w:pPr>
      <w:r>
        <w:rPr>
          <w:rFonts w:hint="eastAsia"/>
        </w:rPr>
        <w:tab/>
        <w:t xml:space="preserve">262.  </w:t>
      </w:r>
      <w:r>
        <w:rPr>
          <w:rFonts w:hint="eastAsia"/>
        </w:rPr>
        <w:t>产假到期后，父母之一有权不上班，直到婴儿三周岁为止。在此期间就业的权利和义务暂时停止；健康保险和保健权利以及退休权和残疾保险可按照有关该领域的条例享受</w:t>
      </w:r>
      <w:r>
        <w:rPr>
          <w:rFonts w:hint="eastAsia"/>
        </w:rPr>
        <w:t>(</w:t>
      </w:r>
      <w:r>
        <w:rPr>
          <w:rFonts w:hint="eastAsia"/>
        </w:rPr>
        <w:t>劳工法第</w:t>
      </w:r>
      <w:r>
        <w:rPr>
          <w:rFonts w:hint="eastAsia"/>
        </w:rPr>
        <w:t>62</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263.  </w:t>
      </w:r>
      <w:r>
        <w:rPr>
          <w:rFonts w:hint="eastAsia"/>
        </w:rPr>
        <w:t>当产假或领养假或半休假结束时，如果使用这些权利之一的雇员从事他或她使用这项权利之前所从事的工作或如果从事这项工作的需要已不复存在，则可委派他或她从事另一项适当工作。</w:t>
      </w:r>
    </w:p>
    <w:p w:rsidR="00000000" w:rsidRDefault="00000000">
      <w:pPr>
        <w:rPr>
          <w:rFonts w:hint="eastAsia"/>
        </w:rPr>
      </w:pPr>
      <w:r>
        <w:rPr>
          <w:rFonts w:hint="eastAsia"/>
        </w:rPr>
        <w:tab/>
        <w:t xml:space="preserve">264.  </w:t>
      </w:r>
      <w:r>
        <w:rPr>
          <w:rFonts w:hint="eastAsia"/>
        </w:rPr>
        <w:t>休完产假或半休的妇女如果继续用母乳喂婴儿有权为此目的而停工片刻</w:t>
      </w:r>
      <w:r>
        <w:rPr>
          <w:rFonts w:hint="eastAsia"/>
        </w:rPr>
        <w:t>(</w:t>
      </w:r>
      <w:r>
        <w:rPr>
          <w:rFonts w:hint="eastAsia"/>
        </w:rPr>
        <w:t>劳工法第</w:t>
      </w:r>
      <w:r>
        <w:rPr>
          <w:rFonts w:hint="eastAsia"/>
        </w:rPr>
        <w:t>160</w:t>
      </w:r>
      <w:r>
        <w:rPr>
          <w:rFonts w:hint="eastAsia"/>
        </w:rPr>
        <w:t>条</w:t>
      </w:r>
      <w:r>
        <w:rPr>
          <w:rFonts w:hint="eastAsia"/>
        </w:rPr>
        <w:t>)</w:t>
      </w:r>
      <w:r>
        <w:rPr>
          <w:rFonts w:hint="eastAsia"/>
        </w:rPr>
        <w:t>。用母乳喂婴儿的妇女如果上全日班，每天为此目的有权休息两次，每次一小时，这项权利可一直享受到婴儿一周岁为止。休息时间算为工作时间；该妇女在此基础上累计的工资根据劳工和社会福利部长经卫生部长同意而规定的特殊条例计算。</w:t>
      </w:r>
    </w:p>
    <w:p w:rsidR="00000000" w:rsidRDefault="00000000">
      <w:pPr>
        <w:rPr>
          <w:rFonts w:hint="eastAsia"/>
        </w:rPr>
      </w:pPr>
      <w:r>
        <w:rPr>
          <w:rFonts w:hint="eastAsia"/>
        </w:rPr>
        <w:tab/>
        <w:t xml:space="preserve">265.  </w:t>
      </w:r>
      <w:r>
        <w:rPr>
          <w:rFonts w:hint="eastAsia"/>
        </w:rPr>
        <w:t>雇员在休产假和半休时有权根据健康保险规则得到工资补偿。</w:t>
      </w:r>
    </w:p>
    <w:p w:rsidR="00000000" w:rsidRDefault="00000000">
      <w:pPr>
        <w:rPr>
          <w:rFonts w:hint="eastAsia"/>
        </w:rPr>
      </w:pPr>
      <w:r>
        <w:rPr>
          <w:rFonts w:hint="eastAsia"/>
        </w:rPr>
        <w:tab/>
        <w:t xml:space="preserve">266.  </w:t>
      </w:r>
      <w:r>
        <w:rPr>
          <w:rFonts w:hint="eastAsia"/>
        </w:rPr>
        <w:t>其子女严重残疾的父母还可要求享受别的权利。其子女严重残疾的父母之一方可要求行使为照看该子女而休假的权利或半休的权利，直到该子女</w:t>
      </w:r>
      <w:r>
        <w:rPr>
          <w:rFonts w:hint="eastAsia"/>
        </w:rPr>
        <w:t>7</w:t>
      </w:r>
      <w:r>
        <w:rPr>
          <w:rFonts w:hint="eastAsia"/>
        </w:rPr>
        <w:t>岁为止。如果父母双方均上全日班，仅其中之一方可要求行使上述权利；或者如果没有就业的父母之一方因身体和</w:t>
      </w:r>
      <w:r>
        <w:rPr>
          <w:rFonts w:hint="eastAsia"/>
        </w:rPr>
        <w:t>/</w:t>
      </w:r>
      <w:r>
        <w:rPr>
          <w:rFonts w:hint="eastAsia"/>
        </w:rPr>
        <w:t>或心理条件而不能照看严重残疾儿童，这项权利则由照看和护理严重残疾儿童的父母之另一方享受。</w:t>
      </w:r>
    </w:p>
    <w:p w:rsidR="00000000" w:rsidRDefault="00000000">
      <w:pPr>
        <w:rPr>
          <w:rFonts w:hint="eastAsia"/>
        </w:rPr>
      </w:pPr>
      <w:r>
        <w:rPr>
          <w:rFonts w:hint="eastAsia"/>
        </w:rPr>
        <w:tab/>
        <w:t xml:space="preserve">267.  </w:t>
      </w:r>
      <w:r>
        <w:rPr>
          <w:rFonts w:hint="eastAsia"/>
        </w:rPr>
        <w:t>特殊情况下，父母之一方没有就业而是在服兵役或系后备人员或被押候或监禁</w:t>
      </w:r>
      <w:r>
        <w:rPr>
          <w:rFonts w:hint="eastAsia"/>
        </w:rPr>
        <w:t>30</w:t>
      </w:r>
      <w:r>
        <w:rPr>
          <w:rFonts w:hint="eastAsia"/>
        </w:rPr>
        <w:t>天以上时，那么父母中有职业的另一方可要求享受这些权利之一；如果母亲正休义务产假，这项权利可由父亲申请享受。</w:t>
      </w:r>
    </w:p>
    <w:p w:rsidR="00000000" w:rsidRDefault="00000000">
      <w:pPr>
        <w:rPr>
          <w:rFonts w:hint="eastAsia"/>
        </w:rPr>
      </w:pPr>
      <w:r>
        <w:rPr>
          <w:rFonts w:hint="eastAsia"/>
        </w:rPr>
        <w:tab/>
        <w:t xml:space="preserve">268.  </w:t>
      </w:r>
      <w:r>
        <w:rPr>
          <w:rFonts w:hint="eastAsia"/>
        </w:rPr>
        <w:t>在这些权利于该子女达到</w:t>
      </w:r>
      <w:r>
        <w:rPr>
          <w:rFonts w:hint="eastAsia"/>
        </w:rPr>
        <w:t>7</w:t>
      </w:r>
      <w:r>
        <w:rPr>
          <w:rFonts w:hint="eastAsia"/>
        </w:rPr>
        <w:t>周岁而停止后，严重残疾儿童的父母之一方仍有权半休。在每一个这种情况中，申请这项权利的父亲或母亲有权根据特别条例得到工资补偿；该补偿的负担由社会福利承担。</w:t>
      </w:r>
    </w:p>
    <w:p w:rsidR="00000000" w:rsidRDefault="00000000">
      <w:pPr>
        <w:rPr>
          <w:rFonts w:hint="eastAsia"/>
        </w:rPr>
      </w:pPr>
      <w:r>
        <w:rPr>
          <w:rFonts w:hint="eastAsia"/>
        </w:rPr>
        <w:tab/>
        <w:t xml:space="preserve">269.  </w:t>
      </w:r>
      <w:r>
        <w:rPr>
          <w:rFonts w:hint="eastAsia"/>
        </w:rPr>
        <w:t>领养父母或依据社会福利当局的裁决而受托抚养儿童的人可以要求享受为保护产妇和抚养儿童而规定的权利</w:t>
      </w:r>
      <w:r>
        <w:rPr>
          <w:rFonts w:hint="eastAsia"/>
        </w:rPr>
        <w:t>(</w:t>
      </w:r>
      <w:r>
        <w:rPr>
          <w:rFonts w:hint="eastAsia"/>
        </w:rPr>
        <w:t>劳工法第</w:t>
      </w:r>
      <w:r>
        <w:rPr>
          <w:rFonts w:hint="eastAsia"/>
        </w:rPr>
        <w:t>67</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270.  </w:t>
      </w:r>
      <w:r>
        <w:rPr>
          <w:rFonts w:hint="eastAsia"/>
        </w:rPr>
        <w:t>考虑到儿童和领养父母的特殊适应需要，立法者规定，如果领养的儿童年龄大于劳工法为要求行使保护产妇和抚养儿童权利预计的年龄，父母之一方从领养之日起享有</w:t>
      </w:r>
      <w:r>
        <w:rPr>
          <w:rFonts w:hint="eastAsia"/>
        </w:rPr>
        <w:t>270</w:t>
      </w:r>
      <w:r>
        <w:rPr>
          <w:rFonts w:hint="eastAsia"/>
        </w:rPr>
        <w:t>天的连续领养假。享受此假的条件是养父或养母的配偶不是该儿童的</w:t>
      </w:r>
      <w:r>
        <w:rPr>
          <w:rFonts w:hint="eastAsia"/>
        </w:rPr>
        <w:t>(</w:t>
      </w:r>
      <w:r>
        <w:rPr>
          <w:rFonts w:hint="eastAsia"/>
        </w:rPr>
        <w:t>亲生</w:t>
      </w:r>
      <w:r>
        <w:rPr>
          <w:rFonts w:hint="eastAsia"/>
        </w:rPr>
        <w:t>)</w:t>
      </w:r>
      <w:r>
        <w:rPr>
          <w:rFonts w:hint="eastAsia"/>
        </w:rPr>
        <w:t>父、母。在领养假期间，养父或养母有权根据健康保险条例得到工资补偿。</w:t>
      </w:r>
    </w:p>
    <w:p w:rsidR="00000000" w:rsidRDefault="00000000">
      <w:pPr>
        <w:rPr>
          <w:rFonts w:hint="eastAsia"/>
        </w:rPr>
      </w:pPr>
      <w:r>
        <w:rPr>
          <w:rFonts w:hint="eastAsia"/>
        </w:rPr>
        <w:tab/>
        <w:t xml:space="preserve">271.  </w:t>
      </w:r>
      <w:r>
        <w:rPr>
          <w:rFonts w:hint="eastAsia"/>
        </w:rPr>
        <w:t>劳工法第</w:t>
      </w:r>
      <w:r>
        <w:rPr>
          <w:rFonts w:hint="eastAsia"/>
        </w:rPr>
        <w:t>56</w:t>
      </w:r>
      <w:r>
        <w:rPr>
          <w:rFonts w:hint="eastAsia"/>
        </w:rPr>
        <w:t>条明确禁止歧视孕妇。雇主不得以妊娠为由而拒绝雇用妇女、取消她的就业合同或重新派遣她做其他工作，法律允许的情况除外。因此，雇主不得索取有关妇女妊娠的任何资料或指使任何其他人这样做。如果受雇妇女申请法律或保护妊娠的其他条例规定的某些权利，雇主可要求此类资料。</w:t>
      </w:r>
    </w:p>
    <w:p w:rsidR="00000000" w:rsidRDefault="00000000">
      <w:pPr>
        <w:rPr>
          <w:rFonts w:hint="eastAsia"/>
        </w:rPr>
      </w:pPr>
      <w:r>
        <w:rPr>
          <w:rFonts w:hint="eastAsia"/>
        </w:rPr>
        <w:tab/>
        <w:t xml:space="preserve">272.  </w:t>
      </w:r>
      <w:r>
        <w:rPr>
          <w:rFonts w:hint="eastAsia"/>
        </w:rPr>
        <w:t>在有关保护产妇和抚养儿童方面，立法者认为有必要制定禁止解雇的特别标准。因此，在妊娠、在</w:t>
      </w:r>
      <w:r>
        <w:rPr>
          <w:rFonts w:hint="eastAsia"/>
        </w:rPr>
        <w:t>(</w:t>
      </w:r>
      <w:r>
        <w:rPr>
          <w:rFonts w:hint="eastAsia"/>
        </w:rPr>
        <w:t>父母或领养父母</w:t>
      </w:r>
      <w:r>
        <w:rPr>
          <w:rFonts w:hint="eastAsia"/>
        </w:rPr>
        <w:t>)</w:t>
      </w:r>
      <w:r>
        <w:rPr>
          <w:rFonts w:hint="eastAsia"/>
        </w:rPr>
        <w:t>休产假、半休、在儿童严重残疾情况中父母或领养父母申请休假期间，雇主不得解雇孕妇或行使这些权利其中之一的人。劳工法将免遭解雇的这项保护延长到妊娠停止后的</w:t>
      </w:r>
      <w:r>
        <w:rPr>
          <w:rFonts w:hint="eastAsia"/>
        </w:rPr>
        <w:t>15</w:t>
      </w:r>
      <w:r>
        <w:rPr>
          <w:rFonts w:hint="eastAsia"/>
        </w:rPr>
        <w:t>天或享受这些权利的期间。</w:t>
      </w:r>
    </w:p>
    <w:p w:rsidR="00000000" w:rsidRDefault="00000000">
      <w:pPr>
        <w:rPr>
          <w:rFonts w:hint="eastAsia"/>
        </w:rPr>
      </w:pPr>
      <w:r>
        <w:rPr>
          <w:rFonts w:hint="eastAsia"/>
        </w:rPr>
        <w:tab/>
        <w:t xml:space="preserve">273.  </w:t>
      </w:r>
      <w:r>
        <w:rPr>
          <w:rFonts w:hint="eastAsia"/>
        </w:rPr>
        <w:t>如果雇主因不知道存在不能解雇的情况，而的确解雇了可要求享受上述权利之一的妇女，如果被雇用的妇女在接到解雇通知的</w:t>
      </w:r>
      <w:r>
        <w:rPr>
          <w:rFonts w:hint="eastAsia"/>
        </w:rPr>
        <w:t>15</w:t>
      </w:r>
      <w:r>
        <w:rPr>
          <w:rFonts w:hint="eastAsia"/>
        </w:rPr>
        <w:t>天内将所说情况通知雇主并提供经授权的医生或其他授权的机构出具的适当证明，则该解雇无效。禁止解雇的规定不适用于定期就业合同的中止。这种合同在缔约期期满时中止。</w:t>
      </w:r>
    </w:p>
    <w:p w:rsidR="00000000" w:rsidRDefault="00000000">
      <w:pPr>
        <w:rPr>
          <w:rFonts w:hint="eastAsia"/>
        </w:rPr>
      </w:pPr>
      <w:r>
        <w:rPr>
          <w:rFonts w:hint="eastAsia"/>
        </w:rPr>
        <w:tab/>
        <w:t xml:space="preserve">274.  </w:t>
      </w:r>
      <w:r>
        <w:rPr>
          <w:rFonts w:hint="eastAsia"/>
        </w:rPr>
        <w:t>劳工法第</w:t>
      </w:r>
      <w:r>
        <w:rPr>
          <w:rFonts w:hint="eastAsia"/>
        </w:rPr>
        <w:t>63</w:t>
      </w:r>
      <w:r>
        <w:rPr>
          <w:rFonts w:hint="eastAsia"/>
        </w:rPr>
        <w:t>条规定有四个或四个以上孩子的母亲有权根据特殊条例获得抚育子女母亲的地位。获得这种地位的就业或失业妇女有权得到经济补偿</w:t>
      </w:r>
      <w:r>
        <w:rPr>
          <w:rFonts w:hint="eastAsia"/>
        </w:rPr>
        <w:t>(</w:t>
      </w:r>
      <w:r>
        <w:rPr>
          <w:rFonts w:hint="eastAsia"/>
        </w:rPr>
        <w:t>即一种津贴</w:t>
      </w:r>
      <w:r>
        <w:rPr>
          <w:rFonts w:hint="eastAsia"/>
        </w:rPr>
        <w:t>)</w:t>
      </w:r>
      <w:r>
        <w:rPr>
          <w:rFonts w:hint="eastAsia"/>
        </w:rPr>
        <w:t>、退休和残疾保险、健康保险和授予这些权利的特殊条例规定的其他权利。</w:t>
      </w:r>
    </w:p>
    <w:p w:rsidR="00000000" w:rsidRDefault="00000000">
      <w:pPr>
        <w:rPr>
          <w:rFonts w:hint="eastAsia"/>
        </w:rPr>
      </w:pPr>
      <w:r>
        <w:rPr>
          <w:rFonts w:hint="eastAsia"/>
        </w:rPr>
        <w:tab/>
        <w:t xml:space="preserve">275.  </w:t>
      </w:r>
      <w:r>
        <w:rPr>
          <w:rFonts w:hint="eastAsia"/>
        </w:rPr>
        <w:t>克罗地亚共和国有关自由职业的和失业的母亲休产假的法律</w:t>
      </w:r>
      <w:r>
        <w:rPr>
          <w:rFonts w:hint="eastAsia"/>
        </w:rPr>
        <w:t>(OG 24/96</w:t>
      </w:r>
      <w:r>
        <w:rPr>
          <w:rFonts w:hint="eastAsia"/>
        </w:rPr>
        <w:t>和</w:t>
      </w:r>
      <w:r>
        <w:rPr>
          <w:rFonts w:hint="eastAsia"/>
        </w:rPr>
        <w:t>107/97)</w:t>
      </w:r>
      <w:r>
        <w:rPr>
          <w:rFonts w:hint="eastAsia"/>
        </w:rPr>
        <w:t>规定了没有就业的妇女、自由职业妇女和领取产假养恤金的母亲的权利。</w:t>
      </w:r>
    </w:p>
    <w:p w:rsidR="00000000" w:rsidRDefault="00000000">
      <w:pPr>
        <w:rPr>
          <w:rFonts w:hint="eastAsia"/>
        </w:rPr>
      </w:pPr>
      <w:r>
        <w:rPr>
          <w:rFonts w:hint="eastAsia"/>
        </w:rPr>
        <w:tab/>
        <w:t xml:space="preserve">276.  </w:t>
      </w:r>
      <w:r>
        <w:rPr>
          <w:rFonts w:hint="eastAsia"/>
        </w:rPr>
        <w:t>根据该法，失业母亲如果生双包胎、生第三个孩子或随后每生一个孩子即有权享受产假，条件是她是克罗地亚公民和在申请产假前在克罗地亚共和国至少居住三年。</w:t>
      </w:r>
    </w:p>
    <w:p w:rsidR="00000000" w:rsidRDefault="00000000">
      <w:pPr>
        <w:rPr>
          <w:rFonts w:hint="eastAsia"/>
        </w:rPr>
      </w:pPr>
      <w:r>
        <w:rPr>
          <w:rFonts w:hint="eastAsia"/>
        </w:rPr>
        <w:tab/>
        <w:t xml:space="preserve">277.  </w:t>
      </w:r>
      <w:r>
        <w:rPr>
          <w:rFonts w:hint="eastAsia"/>
        </w:rPr>
        <w:t>失业母亲从婴儿出生之日起有权享受产假直到婴儿第三个生日为止。</w:t>
      </w:r>
    </w:p>
    <w:p w:rsidR="00000000" w:rsidRDefault="00000000">
      <w:pPr>
        <w:rPr>
          <w:rFonts w:hint="eastAsia"/>
        </w:rPr>
      </w:pPr>
      <w:r>
        <w:rPr>
          <w:rFonts w:hint="eastAsia"/>
        </w:rPr>
        <w:tab/>
        <w:t xml:space="preserve">278.  </w:t>
      </w:r>
      <w:r>
        <w:rPr>
          <w:rFonts w:hint="eastAsia"/>
        </w:rPr>
        <w:t>自由职业的母亲在妊娠、分娩和儿童照料期间有权享受产假，条件与被雇用的妇女享受的条件一样。在法定产假期满后，如果父母同意，产假的余下部分可由婴儿的父亲享受。</w:t>
      </w:r>
    </w:p>
    <w:p w:rsidR="00000000" w:rsidRDefault="00000000">
      <w:pPr>
        <w:rPr>
          <w:rFonts w:hint="eastAsia"/>
        </w:rPr>
      </w:pPr>
      <w:r>
        <w:rPr>
          <w:rFonts w:hint="eastAsia"/>
        </w:rPr>
        <w:tab/>
        <w:t xml:space="preserve">279.  </w:t>
      </w:r>
      <w:r>
        <w:rPr>
          <w:rFonts w:hint="eastAsia"/>
        </w:rPr>
        <w:t>领取养恤金的母亲在她作为失业母亲申请产假的期间具有享受产假和津贴的同样权利。</w:t>
      </w:r>
    </w:p>
    <w:p w:rsidR="00000000" w:rsidRDefault="00000000">
      <w:pPr>
        <w:rPr>
          <w:rFonts w:hint="eastAsia"/>
        </w:rPr>
      </w:pPr>
      <w:r>
        <w:rPr>
          <w:rFonts w:hint="eastAsia"/>
        </w:rPr>
        <w:tab/>
        <w:t xml:space="preserve">280.  </w:t>
      </w:r>
      <w:r>
        <w:rPr>
          <w:rFonts w:hint="eastAsia"/>
        </w:rPr>
        <w:t>如果自由职业的母亲或失业母亲分娩死胎或如果婴儿在产假结束前死亡，她与就业母亲享有同样权利。</w:t>
      </w:r>
    </w:p>
    <w:p w:rsidR="00000000" w:rsidRDefault="00000000">
      <w:pPr>
        <w:rPr>
          <w:rFonts w:hint="eastAsia"/>
        </w:rPr>
      </w:pPr>
      <w:r>
        <w:rPr>
          <w:rFonts w:hint="eastAsia"/>
        </w:rPr>
        <w:tab/>
        <w:t xml:space="preserve">281.  </w:t>
      </w:r>
      <w:r>
        <w:rPr>
          <w:rFonts w:hint="eastAsia"/>
        </w:rPr>
        <w:t>领养父母可在同等条件下申请该法规定的权利。</w:t>
      </w:r>
    </w:p>
    <w:p w:rsidR="00000000" w:rsidRDefault="00000000">
      <w:pPr>
        <w:rPr>
          <w:rFonts w:hint="eastAsia"/>
        </w:rPr>
      </w:pPr>
      <w:r>
        <w:rPr>
          <w:rFonts w:hint="eastAsia"/>
        </w:rPr>
        <w:tab/>
        <w:t xml:space="preserve">282.  </w:t>
      </w:r>
      <w:r>
        <w:rPr>
          <w:rFonts w:hint="eastAsia"/>
        </w:rPr>
        <w:t>义务产假或到婴儿一周岁或三周岁所休产假用去的时间在自由职业母亲退休年龄资格中作为一次性保险年龄资格计算。</w:t>
      </w:r>
    </w:p>
    <w:p w:rsidR="00000000" w:rsidRDefault="00000000">
      <w:pPr>
        <w:ind w:firstLine="600"/>
        <w:rPr>
          <w:rFonts w:hint="eastAsia"/>
        </w:rPr>
      </w:pPr>
      <w:r>
        <w:rPr>
          <w:rFonts w:hint="eastAsia"/>
        </w:rPr>
        <w:t xml:space="preserve">283.  </w:t>
      </w:r>
      <w:r>
        <w:rPr>
          <w:rFonts w:hint="eastAsia"/>
        </w:rPr>
        <w:t>根据健康保险法的规定，自由职业的母亲或失业母亲在义务产假期间和在到婴儿一周岁或三周岁为止的产假期间有权享受现金津贴。</w:t>
      </w:r>
    </w:p>
    <w:p w:rsidR="00000000" w:rsidRDefault="00000000">
      <w:pPr>
        <w:ind w:firstLine="600"/>
        <w:rPr>
          <w:rFonts w:hint="eastAsia"/>
        </w:rPr>
      </w:pPr>
      <w:r>
        <w:rPr>
          <w:rFonts w:hint="eastAsia"/>
        </w:rPr>
        <w:t xml:space="preserve">284.  </w:t>
      </w:r>
      <w:r>
        <w:rPr>
          <w:rFonts w:hint="eastAsia"/>
        </w:rPr>
        <w:t>在享受保护产妇规定产生的权利期间的产妇津贴数额由有关健康保险和福利的条例确定。健康保险法第</w:t>
      </w:r>
      <w:r>
        <w:rPr>
          <w:rFonts w:hint="eastAsia"/>
        </w:rPr>
        <w:t>33</w:t>
      </w:r>
      <w:r>
        <w:rPr>
          <w:rFonts w:hint="eastAsia"/>
        </w:rPr>
        <w:t>条规定津贴多寡取决于津贴基数，而基数由在能申请津贴权所依据的事件发生前的那个月之前的</w:t>
      </w:r>
      <w:r>
        <w:rPr>
          <w:rFonts w:hint="eastAsia"/>
        </w:rPr>
        <w:t>6</w:t>
      </w:r>
      <w:r>
        <w:rPr>
          <w:rFonts w:hint="eastAsia"/>
        </w:rPr>
        <w:t>个月内支付给投保妇女的平均付款额构成。</w:t>
      </w:r>
    </w:p>
    <w:p w:rsidR="00000000" w:rsidRDefault="00000000">
      <w:pPr>
        <w:ind w:firstLine="600"/>
        <w:rPr>
          <w:rFonts w:hint="eastAsia"/>
          <w:lang w:val="fr-CH"/>
        </w:rPr>
      </w:pPr>
      <w:r>
        <w:rPr>
          <w:rFonts w:hint="eastAsia"/>
        </w:rPr>
        <w:t xml:space="preserve">285.  </w:t>
      </w:r>
      <w:r>
        <w:rPr>
          <w:rFonts w:hint="eastAsia"/>
        </w:rPr>
        <w:t>根据第</w:t>
      </w:r>
      <w:r>
        <w:rPr>
          <w:rFonts w:hint="eastAsia"/>
        </w:rPr>
        <w:t>34</w:t>
      </w:r>
      <w:r>
        <w:rPr>
          <w:rFonts w:hint="eastAsia"/>
        </w:rPr>
        <w:t>条，属于下列情形中的妇女的津贴为津贴基数的</w:t>
      </w:r>
      <w:r>
        <w:rPr>
          <w:rFonts w:hint="eastAsia"/>
        </w:rPr>
        <w:t>100%</w:t>
      </w:r>
      <w:r>
        <w:rPr>
          <w:rFonts w:hint="eastAsia"/>
        </w:rPr>
        <w:t>：</w:t>
      </w:r>
      <w:r>
        <w:rPr>
          <w:lang w:val="fr-CH"/>
        </w:rPr>
        <w:t>(a)</w:t>
      </w:r>
      <w:r>
        <w:rPr>
          <w:rFonts w:hint="eastAsia"/>
          <w:lang w:val="fr-CH"/>
        </w:rPr>
        <w:t xml:space="preserve"> </w:t>
      </w:r>
      <w:r>
        <w:rPr>
          <w:rFonts w:hint="eastAsia"/>
          <w:lang w:val="fr-CH"/>
        </w:rPr>
        <w:t>在因</w:t>
      </w:r>
      <w:r>
        <w:rPr>
          <w:rFonts w:hint="eastAsia"/>
        </w:rPr>
        <w:t>妊娠期间并发症的病假期间；和</w:t>
      </w:r>
      <w:r>
        <w:rPr>
          <w:lang w:val="fr-CH"/>
        </w:rPr>
        <w:t>(b)</w:t>
      </w:r>
      <w:r>
        <w:rPr>
          <w:rFonts w:hint="eastAsia"/>
          <w:lang w:val="fr-CH"/>
        </w:rPr>
        <w:t xml:space="preserve"> </w:t>
      </w:r>
      <w:r>
        <w:rPr>
          <w:rFonts w:hint="eastAsia"/>
          <w:lang w:val="fr-CH"/>
        </w:rPr>
        <w:t>在申请义务产假期间</w:t>
      </w:r>
      <w:r>
        <w:rPr>
          <w:rFonts w:hint="eastAsia"/>
          <w:lang w:val="fr-CH"/>
        </w:rPr>
        <w:t>(</w:t>
      </w:r>
      <w:r>
        <w:rPr>
          <w:rFonts w:hint="eastAsia"/>
          <w:lang w:val="fr-CH"/>
        </w:rPr>
        <w:t>从分娩第</w:t>
      </w:r>
      <w:r>
        <w:rPr>
          <w:rFonts w:hint="eastAsia"/>
          <w:lang w:val="fr-CH"/>
        </w:rPr>
        <w:t>28</w:t>
      </w:r>
      <w:r>
        <w:rPr>
          <w:rFonts w:hint="eastAsia"/>
          <w:lang w:val="fr-CH"/>
        </w:rPr>
        <w:t>天起至婴儿</w:t>
      </w:r>
      <w:r>
        <w:rPr>
          <w:rFonts w:hint="eastAsia"/>
          <w:lang w:val="fr-CH"/>
        </w:rPr>
        <w:t>6</w:t>
      </w:r>
      <w:r>
        <w:rPr>
          <w:rFonts w:hint="eastAsia"/>
          <w:lang w:val="fr-CH"/>
        </w:rPr>
        <w:t>个月为止的期间</w:t>
      </w:r>
      <w:r>
        <w:rPr>
          <w:rFonts w:hint="eastAsia"/>
          <w:lang w:val="fr-CH"/>
        </w:rPr>
        <w:t>)</w:t>
      </w:r>
      <w:r>
        <w:rPr>
          <w:rFonts w:hint="eastAsia"/>
          <w:lang w:val="fr-CH"/>
        </w:rPr>
        <w:t>。</w:t>
      </w:r>
    </w:p>
    <w:p w:rsidR="00000000" w:rsidRDefault="00000000">
      <w:pPr>
        <w:ind w:firstLine="600"/>
        <w:rPr>
          <w:rFonts w:hint="eastAsia"/>
          <w:lang w:val="fr-CH"/>
        </w:rPr>
      </w:pPr>
      <w:r>
        <w:rPr>
          <w:rFonts w:hint="eastAsia"/>
          <w:lang w:val="fr-CH"/>
        </w:rPr>
        <w:t xml:space="preserve">286.  </w:t>
      </w:r>
      <w:r>
        <w:rPr>
          <w:rFonts w:hint="eastAsia"/>
          <w:lang w:val="fr-CH"/>
        </w:rPr>
        <w:t>该法第</w:t>
      </w:r>
      <w:r>
        <w:rPr>
          <w:rFonts w:hint="eastAsia"/>
          <w:lang w:val="fr-CH"/>
        </w:rPr>
        <w:t>25</w:t>
      </w:r>
      <w:r>
        <w:rPr>
          <w:rFonts w:hint="eastAsia"/>
          <w:lang w:val="fr-CH"/>
        </w:rPr>
        <w:t>条第</w:t>
      </w:r>
      <w:r>
        <w:rPr>
          <w:rFonts w:hint="eastAsia"/>
          <w:lang w:val="fr-CH"/>
        </w:rPr>
        <w:t>2</w:t>
      </w:r>
      <w:r>
        <w:rPr>
          <w:rFonts w:hint="eastAsia"/>
          <w:lang w:val="fr-CH"/>
        </w:rPr>
        <w:t>款规定了若干权利：义务产假期间，享有津贴；产假可休到婴儿一周岁或三周岁；领养假；在属于劳工法第</w:t>
      </w:r>
      <w:r>
        <w:rPr>
          <w:rFonts w:hint="eastAsia"/>
          <w:lang w:val="fr-CH"/>
        </w:rPr>
        <w:t>57</w:t>
      </w:r>
      <w:r>
        <w:rPr>
          <w:rFonts w:hint="eastAsia"/>
          <w:lang w:val="fr-CH"/>
        </w:rPr>
        <w:t>条界定的情况，如果因妊娠或用母乳喂婴儿，有权半休，直到一周岁或三周岁为止；有权根据劳工法第</w:t>
      </w:r>
      <w:r>
        <w:rPr>
          <w:rFonts w:hint="eastAsia"/>
          <w:lang w:val="fr-CH"/>
        </w:rPr>
        <w:t>60</w:t>
      </w:r>
      <w:r>
        <w:rPr>
          <w:rFonts w:hint="eastAsia"/>
          <w:lang w:val="fr-CH"/>
        </w:rPr>
        <w:t>条为用母乳喂婴儿而暂时离开工作；失业母亲生双胞胎、第三个孩子或随后每生一个孩子休产假时有权得到津贴，该津贴至少为预算执行法规定的最低数额，如果以这种方式确定的数额比根据健康保险法规定确定的津贴更为有利的话。</w:t>
      </w:r>
    </w:p>
    <w:p w:rsidR="00000000" w:rsidRDefault="00000000">
      <w:pPr>
        <w:ind w:firstLine="600"/>
        <w:rPr>
          <w:rFonts w:hint="eastAsia"/>
          <w:lang w:val="fr-CH"/>
        </w:rPr>
      </w:pPr>
      <w:r>
        <w:rPr>
          <w:rFonts w:hint="eastAsia"/>
          <w:lang w:val="fr-CH"/>
        </w:rPr>
        <w:t xml:space="preserve">287.  </w:t>
      </w:r>
      <w:r>
        <w:rPr>
          <w:rFonts w:hint="eastAsia"/>
          <w:lang w:val="fr-CH"/>
        </w:rPr>
        <w:t>在婴儿</w:t>
      </w:r>
      <w:r>
        <w:rPr>
          <w:rFonts w:hint="eastAsia"/>
          <w:lang w:val="fr-CH"/>
        </w:rPr>
        <w:t>6</w:t>
      </w:r>
      <w:r>
        <w:rPr>
          <w:rFonts w:hint="eastAsia"/>
          <w:lang w:val="fr-CH"/>
        </w:rPr>
        <w:t>个月至一周岁期间休产假时领取的津贴、休领养父母假期间领取的津贴和在婴儿一周岁之前半休领取的津贴不能超过预算执行法确定的最高津贴数额。预算执行法规定的最低补偿为</w:t>
      </w:r>
      <w:r>
        <w:rPr>
          <w:rFonts w:hint="eastAsia"/>
          <w:lang w:val="fr-CH"/>
        </w:rPr>
        <w:t>1,600</w:t>
      </w:r>
      <w:r>
        <w:rPr>
          <w:rFonts w:hint="eastAsia"/>
          <w:lang w:val="fr-CH"/>
        </w:rPr>
        <w:t>库纳。</w:t>
      </w:r>
    </w:p>
    <w:p w:rsidR="00000000" w:rsidRDefault="00000000">
      <w:pPr>
        <w:ind w:firstLine="600"/>
        <w:rPr>
          <w:rFonts w:hint="eastAsia"/>
          <w:lang w:val="fr-CH"/>
        </w:rPr>
      </w:pPr>
      <w:r>
        <w:rPr>
          <w:rFonts w:hint="eastAsia"/>
          <w:lang w:val="fr-CH"/>
        </w:rPr>
        <w:t xml:space="preserve">288.  </w:t>
      </w:r>
      <w:r>
        <w:rPr>
          <w:rFonts w:hint="eastAsia"/>
          <w:lang w:val="fr-CH"/>
        </w:rPr>
        <w:t>在婴儿</w:t>
      </w:r>
      <w:r>
        <w:rPr>
          <w:rFonts w:hint="eastAsia"/>
          <w:lang w:val="fr-CH"/>
        </w:rPr>
        <w:t>6</w:t>
      </w:r>
      <w:r>
        <w:rPr>
          <w:rFonts w:hint="eastAsia"/>
          <w:lang w:val="fr-CH"/>
        </w:rPr>
        <w:t>个月至一周岁期间休产假的津贴为</w:t>
      </w:r>
      <w:r>
        <w:rPr>
          <w:rFonts w:hint="eastAsia"/>
          <w:lang w:val="fr-CH"/>
        </w:rPr>
        <w:t>1,600</w:t>
      </w:r>
      <w:r>
        <w:rPr>
          <w:rFonts w:hint="eastAsia"/>
          <w:lang w:val="fr-CH"/>
        </w:rPr>
        <w:t>库纳至最高</w:t>
      </w:r>
      <w:r>
        <w:rPr>
          <w:rFonts w:hint="eastAsia"/>
          <w:lang w:val="fr-CH"/>
        </w:rPr>
        <w:t>2,500</w:t>
      </w:r>
      <w:r>
        <w:rPr>
          <w:rFonts w:hint="eastAsia"/>
          <w:lang w:val="fr-CH"/>
        </w:rPr>
        <w:t>库纳，这取决于津贴领取者在有权休产假之前的</w:t>
      </w:r>
      <w:r>
        <w:rPr>
          <w:rFonts w:hint="eastAsia"/>
          <w:lang w:val="fr-CH"/>
        </w:rPr>
        <w:t>6</w:t>
      </w:r>
      <w:r>
        <w:rPr>
          <w:rFonts w:hint="eastAsia"/>
          <w:lang w:val="fr-CH"/>
        </w:rPr>
        <w:t>个月的平均工资数额。</w:t>
      </w:r>
    </w:p>
    <w:p w:rsidR="00000000" w:rsidRDefault="00000000">
      <w:pPr>
        <w:ind w:firstLine="600"/>
        <w:rPr>
          <w:rFonts w:hint="eastAsia"/>
          <w:lang w:val="fr-CH"/>
        </w:rPr>
      </w:pPr>
      <w:r>
        <w:rPr>
          <w:rFonts w:hint="eastAsia"/>
          <w:lang w:val="fr-CH"/>
        </w:rPr>
        <w:t xml:space="preserve">289.  </w:t>
      </w:r>
      <w:r>
        <w:rPr>
          <w:rFonts w:hint="eastAsia"/>
          <w:lang w:val="fr-CH"/>
        </w:rPr>
        <w:t>下列情形中的津贴为</w:t>
      </w:r>
      <w:r>
        <w:rPr>
          <w:rFonts w:hint="eastAsia"/>
          <w:lang w:val="fr-CH"/>
        </w:rPr>
        <w:t>1,600</w:t>
      </w:r>
      <w:r>
        <w:rPr>
          <w:rFonts w:hint="eastAsia"/>
          <w:lang w:val="fr-CH"/>
        </w:rPr>
        <w:t>库纳：从婴儿一周岁至三周岁为止的产假期间；领养父母假期间；从婴儿一周岁至三周岁为止的半休期间；如果孕妇或用母乳喂婴儿的母亲的雇主因仅雇用</w:t>
      </w:r>
      <w:r>
        <w:rPr>
          <w:rFonts w:hint="eastAsia"/>
          <w:lang w:val="fr-CH"/>
        </w:rPr>
        <w:t>5</w:t>
      </w:r>
      <w:r>
        <w:rPr>
          <w:rFonts w:hint="eastAsia"/>
          <w:lang w:val="fr-CH"/>
        </w:rPr>
        <w:t>名或</w:t>
      </w:r>
      <w:r>
        <w:rPr>
          <w:rFonts w:hint="eastAsia"/>
          <w:lang w:val="fr-CH"/>
        </w:rPr>
        <w:t>5</w:t>
      </w:r>
      <w:r>
        <w:rPr>
          <w:rFonts w:hint="eastAsia"/>
          <w:lang w:val="fr-CH"/>
        </w:rPr>
        <w:t>名以下雇员而不能给她安排其他适当就业，在她有权享受的假期期间；及在失业母亲休产假期间。这一数额也是计算劳工法规定的给婴儿喂奶期间停工的工资补偿的基数。</w:t>
      </w:r>
    </w:p>
    <w:p w:rsidR="00000000" w:rsidRDefault="00000000">
      <w:pPr>
        <w:ind w:firstLine="600"/>
        <w:rPr>
          <w:rFonts w:hint="eastAsia"/>
          <w:lang w:val="fr-CH"/>
        </w:rPr>
      </w:pPr>
      <w:r>
        <w:rPr>
          <w:rFonts w:hint="eastAsia"/>
          <w:lang w:val="fr-CH"/>
        </w:rPr>
        <w:t xml:space="preserve">290.  </w:t>
      </w:r>
      <w:r>
        <w:rPr>
          <w:rFonts w:hint="eastAsia"/>
          <w:lang w:val="fr-CH"/>
        </w:rPr>
        <w:t>生双胞胎、此后生第三个孩子或随后每生一胎的失业母亲如果能够从克罗地亚就业机构领取的津贴达不到产假津贴，则可获得不足部分，最高为预算执行法规定的最低数额，或</w:t>
      </w:r>
      <w:r>
        <w:rPr>
          <w:rFonts w:hint="eastAsia"/>
          <w:lang w:val="fr-CH"/>
        </w:rPr>
        <w:t>1,600</w:t>
      </w:r>
      <w:r>
        <w:rPr>
          <w:rFonts w:hint="eastAsia"/>
          <w:lang w:val="fr-CH"/>
        </w:rPr>
        <w:t>库纳。</w:t>
      </w:r>
    </w:p>
    <w:p w:rsidR="00000000" w:rsidRDefault="00000000">
      <w:pPr>
        <w:ind w:firstLine="600"/>
        <w:rPr>
          <w:rFonts w:hint="eastAsia"/>
          <w:lang w:val="fr-CH"/>
        </w:rPr>
      </w:pPr>
      <w:r>
        <w:rPr>
          <w:rFonts w:hint="eastAsia"/>
          <w:lang w:val="fr-CH"/>
        </w:rPr>
        <w:t xml:space="preserve">291.  </w:t>
      </w:r>
      <w:r>
        <w:rPr>
          <w:rFonts w:hint="eastAsia"/>
          <w:lang w:val="fr-CH"/>
        </w:rPr>
        <w:t>同样，领取养恤金的母亲如果其养恤金的数额少于产假津贴数额，则付予不足部分。</w:t>
      </w:r>
    </w:p>
    <w:p w:rsidR="00000000" w:rsidRDefault="00000000">
      <w:pPr>
        <w:ind w:firstLine="600"/>
        <w:rPr>
          <w:rFonts w:hint="eastAsia"/>
          <w:lang w:val="fr-CH"/>
        </w:rPr>
      </w:pPr>
      <w:r>
        <w:rPr>
          <w:rFonts w:hint="eastAsia"/>
          <w:lang w:val="fr-CH"/>
        </w:rPr>
        <w:t>292.  1996</w:t>
      </w:r>
      <w:r>
        <w:rPr>
          <w:rFonts w:hint="eastAsia"/>
          <w:lang w:val="fr-CH"/>
        </w:rPr>
        <w:t>年克罗地亚有</w:t>
      </w:r>
      <w:r>
        <w:rPr>
          <w:rFonts w:hint="eastAsia"/>
          <w:lang w:val="fr-CH"/>
        </w:rPr>
        <w:t>28,858</w:t>
      </w:r>
      <w:r>
        <w:rPr>
          <w:rFonts w:hint="eastAsia"/>
          <w:lang w:val="fr-CH"/>
        </w:rPr>
        <w:t>名就业妇女休义务产假、</w:t>
      </w:r>
      <w:r>
        <w:rPr>
          <w:rFonts w:hint="eastAsia"/>
          <w:lang w:val="fr-CH"/>
        </w:rPr>
        <w:t>18,819</w:t>
      </w:r>
      <w:r>
        <w:rPr>
          <w:rFonts w:hint="eastAsia"/>
          <w:lang w:val="fr-CH"/>
        </w:rPr>
        <w:t>名休到婴儿一周岁为止的额外产假和</w:t>
      </w:r>
      <w:r>
        <w:rPr>
          <w:rFonts w:hint="eastAsia"/>
          <w:lang w:val="fr-CH"/>
        </w:rPr>
        <w:t>6,305</w:t>
      </w:r>
      <w:r>
        <w:rPr>
          <w:rFonts w:hint="eastAsia"/>
          <w:lang w:val="fr-CH"/>
        </w:rPr>
        <w:t>名休到婴儿三周岁为止的额外产假。</w:t>
      </w:r>
    </w:p>
    <w:p w:rsidR="00000000" w:rsidRDefault="00000000">
      <w:pPr>
        <w:ind w:firstLine="600"/>
        <w:rPr>
          <w:rFonts w:hint="eastAsia"/>
          <w:lang w:val="fr-CH"/>
        </w:rPr>
      </w:pPr>
      <w:r>
        <w:rPr>
          <w:rFonts w:hint="eastAsia"/>
          <w:lang w:val="fr-CH"/>
        </w:rPr>
        <w:t xml:space="preserve">293.  </w:t>
      </w:r>
      <w:r>
        <w:rPr>
          <w:rFonts w:hint="eastAsia"/>
          <w:lang w:val="fr-CH"/>
        </w:rPr>
        <w:t>有关为照顾严重残疾儿童而申请至儿童七周岁为止的假期和申请半休的条例规定，上半班的父母有权得到上全班情况下另一半时间的工资补偿，数额为他或她上半班领取的净工资与他或她上全班领取的净工资的差额。</w:t>
      </w:r>
    </w:p>
    <w:p w:rsidR="00000000" w:rsidRDefault="00000000">
      <w:pPr>
        <w:ind w:firstLine="600"/>
        <w:rPr>
          <w:rFonts w:hint="eastAsia"/>
          <w:lang w:val="fr-CH"/>
        </w:rPr>
      </w:pPr>
      <w:r>
        <w:rPr>
          <w:rFonts w:hint="eastAsia"/>
          <w:lang w:val="fr-CH"/>
        </w:rPr>
        <w:t xml:space="preserve">294.  </w:t>
      </w:r>
      <w:r>
        <w:rPr>
          <w:rFonts w:hint="eastAsia"/>
          <w:lang w:val="fr-CH"/>
        </w:rPr>
        <w:t>劳工和社会福利部财经事务管理部门依据雇主出具的实付工资和应付给上半班父、母的工资的证明，付给上半班的父母津贴。</w:t>
      </w:r>
    </w:p>
    <w:p w:rsidR="00000000" w:rsidRDefault="00000000">
      <w:pPr>
        <w:ind w:firstLine="600"/>
        <w:rPr>
          <w:rFonts w:hint="eastAsia"/>
          <w:lang w:val="fr-CH"/>
        </w:rPr>
      </w:pPr>
      <w:r>
        <w:rPr>
          <w:rFonts w:hint="eastAsia"/>
          <w:lang w:val="fr-CH"/>
        </w:rPr>
        <w:t xml:space="preserve">295.  </w:t>
      </w:r>
      <w:r>
        <w:rPr>
          <w:rFonts w:hint="eastAsia"/>
          <w:lang w:val="fr-CH"/>
        </w:rPr>
        <w:t>如果父、母在上半班期间休年假或病假，那么他或她应该得到适当数额的津贴。</w:t>
      </w:r>
    </w:p>
    <w:p w:rsidR="00000000" w:rsidRDefault="00000000">
      <w:pPr>
        <w:ind w:firstLine="600"/>
        <w:rPr>
          <w:rFonts w:hint="eastAsia"/>
          <w:lang w:val="fr-CH"/>
        </w:rPr>
      </w:pPr>
      <w:r>
        <w:rPr>
          <w:rFonts w:hint="eastAsia"/>
          <w:lang w:val="fr-CH"/>
        </w:rPr>
        <w:t xml:space="preserve">296.  </w:t>
      </w:r>
      <w:r>
        <w:rPr>
          <w:rFonts w:hint="eastAsia"/>
          <w:lang w:val="fr-CH"/>
        </w:rPr>
        <w:t>休假到子女满七周岁为止的父、母有权获得津贴，数额按社会保险规定的享受津贴的</w:t>
      </w:r>
      <w:r>
        <w:rPr>
          <w:rFonts w:hint="eastAsia"/>
          <w:lang w:val="fr-CH"/>
        </w:rPr>
        <w:t>5</w:t>
      </w:r>
      <w:r>
        <w:rPr>
          <w:rFonts w:hint="eastAsia"/>
          <w:lang w:val="fr-CH"/>
        </w:rPr>
        <w:t>项根据计算由劳工和社会福利部财经事务行政部门支付。</w:t>
      </w:r>
    </w:p>
    <w:p w:rsidR="00000000" w:rsidRDefault="00000000">
      <w:pPr>
        <w:ind w:firstLine="600"/>
        <w:rPr>
          <w:rFonts w:hint="eastAsia"/>
          <w:lang w:val="fr-CH"/>
        </w:rPr>
      </w:pPr>
      <w:r>
        <w:rPr>
          <w:rFonts w:hint="eastAsia"/>
          <w:lang w:val="fr-CH"/>
        </w:rPr>
        <w:t xml:space="preserve">297.  </w:t>
      </w:r>
      <w:r>
        <w:rPr>
          <w:rFonts w:hint="eastAsia"/>
          <w:lang w:val="fr-CH"/>
        </w:rPr>
        <w:t>根据宪法规定，即未到法定年龄的儿童不能被雇用或被迫从事有害其健康或道德的工作或甚至被允许做这种工作，劳工法为雇用未成年人规定了特别条件。</w:t>
      </w:r>
    </w:p>
    <w:p w:rsidR="00000000" w:rsidRDefault="00000000">
      <w:pPr>
        <w:ind w:firstLine="600"/>
        <w:rPr>
          <w:rFonts w:hint="eastAsia"/>
          <w:lang w:val="fr-CH"/>
        </w:rPr>
      </w:pPr>
      <w:r>
        <w:rPr>
          <w:rFonts w:hint="eastAsia"/>
          <w:lang w:val="fr-CH"/>
        </w:rPr>
        <w:t xml:space="preserve">298.  </w:t>
      </w:r>
      <w:r>
        <w:rPr>
          <w:rFonts w:hint="eastAsia"/>
          <w:lang w:val="fr-CH"/>
        </w:rPr>
        <w:t>劳工法第</w:t>
      </w:r>
      <w:r>
        <w:rPr>
          <w:rFonts w:hint="eastAsia"/>
          <w:lang w:val="fr-CH"/>
        </w:rPr>
        <w:t>14</w:t>
      </w:r>
      <w:r>
        <w:rPr>
          <w:rFonts w:hint="eastAsia"/>
          <w:lang w:val="fr-CH"/>
        </w:rPr>
        <w:t>条规定年龄未满</w:t>
      </w:r>
      <w:r>
        <w:rPr>
          <w:rFonts w:hint="eastAsia"/>
          <w:lang w:val="fr-CH"/>
        </w:rPr>
        <w:t>14</w:t>
      </w:r>
      <w:r>
        <w:rPr>
          <w:rFonts w:hint="eastAsia"/>
          <w:lang w:val="fr-CH"/>
        </w:rPr>
        <w:t>岁的人不能被雇用。然而，</w:t>
      </w:r>
      <w:r>
        <w:rPr>
          <w:rFonts w:hint="eastAsia"/>
          <w:u w:val="single"/>
          <w:lang w:val="fr-CH"/>
        </w:rPr>
        <w:t>特殊情况下</w:t>
      </w:r>
      <w:r>
        <w:rPr>
          <w:rFonts w:hint="eastAsia"/>
          <w:lang w:val="fr-CH"/>
        </w:rPr>
        <w:t>经劳工检查员的</w:t>
      </w:r>
      <w:r>
        <w:rPr>
          <w:rFonts w:hint="eastAsia"/>
          <w:u w:val="single"/>
          <w:lang w:val="fr-CH"/>
        </w:rPr>
        <w:t>事先批准</w:t>
      </w:r>
      <w:r>
        <w:rPr>
          <w:rFonts w:hint="eastAsia"/>
          <w:lang w:val="fr-CH"/>
        </w:rPr>
        <w:t>，年龄未满</w:t>
      </w:r>
      <w:r>
        <w:rPr>
          <w:rFonts w:hint="eastAsia"/>
          <w:lang w:val="fr-CH"/>
        </w:rPr>
        <w:t>15</w:t>
      </w:r>
      <w:r>
        <w:rPr>
          <w:rFonts w:hint="eastAsia"/>
          <w:lang w:val="fr-CH"/>
        </w:rPr>
        <w:t>岁的人可以某种方式和在一定程度上参与拍摄电影、筹备和制作艺术、舞台和类似作品，从事不危害其健康、道德、教育或成长的工作，从而领取费用；劳工检查员将依据年龄在</w:t>
      </w:r>
      <w:r>
        <w:rPr>
          <w:rFonts w:hint="eastAsia"/>
          <w:lang w:val="fr-CH"/>
        </w:rPr>
        <w:t>15</w:t>
      </w:r>
      <w:r>
        <w:rPr>
          <w:rFonts w:hint="eastAsia"/>
          <w:lang w:val="fr-CH"/>
        </w:rPr>
        <w:t>岁以下的未成年人的法律代表提出的申请发放批准书。</w:t>
      </w:r>
    </w:p>
    <w:p w:rsidR="00000000" w:rsidRDefault="00000000">
      <w:pPr>
        <w:ind w:firstLine="600"/>
        <w:rPr>
          <w:rFonts w:hint="eastAsia"/>
          <w:lang w:val="fr-CH"/>
        </w:rPr>
      </w:pPr>
      <w:r>
        <w:rPr>
          <w:rFonts w:hint="eastAsia"/>
          <w:lang w:val="fr-CH"/>
        </w:rPr>
        <w:t xml:space="preserve">299.  </w:t>
      </w:r>
      <w:r>
        <w:rPr>
          <w:rFonts w:hint="eastAsia"/>
          <w:lang w:val="fr-CH"/>
        </w:rPr>
        <w:t>年龄超过</w:t>
      </w:r>
      <w:r>
        <w:rPr>
          <w:rFonts w:hint="eastAsia"/>
          <w:lang w:val="fr-CH"/>
        </w:rPr>
        <w:t>15</w:t>
      </w:r>
      <w:r>
        <w:rPr>
          <w:rFonts w:hint="eastAsia"/>
          <w:lang w:val="fr-CH"/>
        </w:rPr>
        <w:t>岁但小于</w:t>
      </w:r>
      <w:r>
        <w:rPr>
          <w:rFonts w:hint="eastAsia"/>
          <w:lang w:val="fr-CH"/>
        </w:rPr>
        <w:t>18</w:t>
      </w:r>
      <w:r>
        <w:rPr>
          <w:rFonts w:hint="eastAsia"/>
          <w:lang w:val="fr-CH"/>
        </w:rPr>
        <w:t>岁的人可被雇用，但如要缔结就业合同则必须获得法律代表的书面同意。法律代表或监护人可以为年龄超过</w:t>
      </w:r>
      <w:r>
        <w:rPr>
          <w:rFonts w:hint="eastAsia"/>
          <w:lang w:val="fr-CH"/>
        </w:rPr>
        <w:t>15</w:t>
      </w:r>
      <w:r>
        <w:rPr>
          <w:rFonts w:hint="eastAsia"/>
          <w:lang w:val="fr-CH"/>
        </w:rPr>
        <w:t>岁的未成年人缔结某些就业合同给予书面授权，根据该授权，未成年人取得经商能力，可以缔结和解除这种合同并采取与履行该合同规定的权利和义务有关或与该合同有关的一切法律行动。监护人只有在社会福利机构事先批准的基础上才能给予未成年人这种授权。</w:t>
      </w:r>
    </w:p>
    <w:p w:rsidR="00000000" w:rsidRDefault="00000000">
      <w:pPr>
        <w:ind w:firstLine="600"/>
        <w:rPr>
          <w:rFonts w:hint="eastAsia"/>
          <w:lang w:val="fr-CH"/>
        </w:rPr>
      </w:pPr>
      <w:r>
        <w:rPr>
          <w:rFonts w:hint="eastAsia"/>
          <w:lang w:val="fr-CH"/>
        </w:rPr>
        <w:t xml:space="preserve">300.  </w:t>
      </w:r>
      <w:r>
        <w:rPr>
          <w:rFonts w:hint="eastAsia"/>
          <w:lang w:val="fr-CH"/>
        </w:rPr>
        <w:t>法律代表需获得社会福利机构批准方可进行的法律事务不须授权即可签署某一合同。法律代表可帮助或限制缔结某些就业合同或可以以未成年人的名义结束就业。</w:t>
      </w:r>
    </w:p>
    <w:p w:rsidR="00000000" w:rsidRDefault="00000000">
      <w:pPr>
        <w:ind w:firstLine="600"/>
        <w:rPr>
          <w:rFonts w:hint="eastAsia"/>
          <w:lang w:val="fr-CH"/>
        </w:rPr>
      </w:pPr>
      <w:r>
        <w:rPr>
          <w:rFonts w:hint="eastAsia"/>
          <w:lang w:val="fr-CH"/>
        </w:rPr>
        <w:t xml:space="preserve">301.  </w:t>
      </w:r>
      <w:r>
        <w:rPr>
          <w:rFonts w:hint="eastAsia"/>
          <w:lang w:val="fr-CH"/>
        </w:rPr>
        <w:t>劳工法第</w:t>
      </w:r>
      <w:r>
        <w:rPr>
          <w:rFonts w:hint="eastAsia"/>
          <w:lang w:val="fr-CH"/>
        </w:rPr>
        <w:t>16</w:t>
      </w:r>
      <w:r>
        <w:rPr>
          <w:rFonts w:hint="eastAsia"/>
          <w:lang w:val="fr-CH"/>
        </w:rPr>
        <w:t>条规定不得雇用未成年人从事有害其健康、道德或发展的工作。法律授权劳工和社会事务部长在卫生部长同意下确定这种工作的性质。他规定了不得雇用未成年人和只有在事先确定未成年人身体健康后才可雇用从事的工作的条例，以便禁止雇用未成年人从事工作保护条例界定为工作条件特殊的工作和退休和残疾保险条例界定为特别困难和有害健康的和需额外增加保险年限的工作。</w:t>
      </w:r>
    </w:p>
    <w:p w:rsidR="00000000" w:rsidRDefault="00000000">
      <w:pPr>
        <w:ind w:firstLine="600"/>
        <w:rPr>
          <w:rFonts w:hint="eastAsia"/>
        </w:rPr>
      </w:pPr>
      <w:r>
        <w:rPr>
          <w:rFonts w:hint="eastAsia"/>
          <w:lang w:val="fr-CH"/>
        </w:rPr>
        <w:t xml:space="preserve">302.  </w:t>
      </w:r>
      <w:r>
        <w:rPr>
          <w:rFonts w:hint="eastAsia"/>
          <w:lang w:val="fr-CH"/>
        </w:rPr>
        <w:t>工作保护法第</w:t>
      </w:r>
      <w:r>
        <w:rPr>
          <w:rFonts w:hint="eastAsia"/>
          <w:lang w:val="fr-CH"/>
        </w:rPr>
        <w:t>40</w:t>
      </w:r>
      <w:r>
        <w:rPr>
          <w:rFonts w:hint="eastAsia"/>
          <w:lang w:val="fr-CH"/>
        </w:rPr>
        <w:t>条规定未成年人不能从事需要特别工作条件的工作、不得在夜间工作或加班，劳工法规定的情况除外。未成年人不能在</w:t>
      </w:r>
      <w:r>
        <w:rPr>
          <w:rFonts w:hint="eastAsia"/>
        </w:rPr>
        <w:t>赌场、游戏厅、迪斯科舞厅、夜总会或夜间酒吧从事工作也不能从事其他类似工作。</w:t>
      </w:r>
    </w:p>
    <w:p w:rsidR="00000000" w:rsidRDefault="00000000">
      <w:pPr>
        <w:ind w:firstLine="600"/>
        <w:rPr>
          <w:rFonts w:hint="eastAsia"/>
        </w:rPr>
      </w:pPr>
      <w:r>
        <w:rPr>
          <w:rFonts w:hint="eastAsia"/>
        </w:rPr>
        <w:t xml:space="preserve">303.  </w:t>
      </w:r>
      <w:r>
        <w:rPr>
          <w:rFonts w:hint="eastAsia"/>
        </w:rPr>
        <w:t>年龄超过</w:t>
      </w:r>
      <w:r>
        <w:rPr>
          <w:rFonts w:hint="eastAsia"/>
        </w:rPr>
        <w:t>15</w:t>
      </w:r>
      <w:r>
        <w:rPr>
          <w:rFonts w:hint="eastAsia"/>
        </w:rPr>
        <w:t>岁的未成年人只有在得到下列保证后才能从事所有其他工作：他或她的健康可以使他或她有能力从事经授权的职业医疗保健单位确定的这些工作，该机构依据所确定的事务状况发放该未成年人可从事某些工作的体检能力证书，其中也提到定期体检的期限，最长不能超过</w:t>
      </w:r>
      <w:r>
        <w:rPr>
          <w:rFonts w:hint="eastAsia"/>
        </w:rPr>
        <w:t>6</w:t>
      </w:r>
      <w:r>
        <w:rPr>
          <w:rFonts w:hint="eastAsia"/>
        </w:rPr>
        <w:t>个月。</w:t>
      </w:r>
    </w:p>
    <w:p w:rsidR="00000000" w:rsidRDefault="00000000">
      <w:pPr>
        <w:ind w:firstLine="600"/>
        <w:rPr>
          <w:rFonts w:hint="eastAsia"/>
        </w:rPr>
      </w:pPr>
      <w:r>
        <w:rPr>
          <w:rFonts w:hint="eastAsia"/>
        </w:rPr>
        <w:t xml:space="preserve">304.  </w:t>
      </w:r>
      <w:r>
        <w:rPr>
          <w:rFonts w:hint="eastAsia"/>
        </w:rPr>
        <w:t>如果未成年被雇用从事会有害其健康、道德或发展的工作，雇主有义务应未成年人、父母或监护人、雇员理事会、劳工检查员联合会的要求，给该未成年人重新分配一些其他更合适的工作；如果没有此种合适的工作，则以法律规定的方式和条件辞退该未成年人。</w:t>
      </w:r>
    </w:p>
    <w:p w:rsidR="00000000" w:rsidRDefault="00000000">
      <w:pPr>
        <w:ind w:firstLine="600"/>
        <w:rPr>
          <w:rFonts w:hint="eastAsia"/>
        </w:rPr>
      </w:pPr>
      <w:r>
        <w:rPr>
          <w:rFonts w:hint="eastAsia"/>
        </w:rPr>
        <w:t xml:space="preserve">305.  </w:t>
      </w:r>
      <w:r>
        <w:rPr>
          <w:rFonts w:hint="eastAsia"/>
        </w:rPr>
        <w:t>劳工检查员如果怀疑未成年人从事的工作威胁到其健康或发展，可随时要求雇主请授权医生对被雇用的未成年人进行体检并在体检结果和意见中评估该未成年人从事的工作对其健康或发展有无威胁。劳工检查员依据授权医生进行的体检结果和意见可禁止未成年人从事某些工作。</w:t>
      </w:r>
    </w:p>
    <w:p w:rsidR="00000000" w:rsidRDefault="00000000">
      <w:pPr>
        <w:ind w:firstLine="600"/>
        <w:rPr>
          <w:rFonts w:hint="eastAsia"/>
        </w:rPr>
      </w:pPr>
      <w:r>
        <w:rPr>
          <w:rFonts w:hint="eastAsia"/>
        </w:rPr>
        <w:t xml:space="preserve">306.  </w:t>
      </w:r>
      <w:r>
        <w:rPr>
          <w:rFonts w:hint="eastAsia"/>
        </w:rPr>
        <w:t>法律禁止未成年人从事夜间工作，除非这项工作因一些不可抗力而非做不可。对在工业界雇用的未成年人来说，夜间工作为</w:t>
      </w:r>
      <w:r>
        <w:rPr>
          <w:rFonts w:hint="eastAsia"/>
        </w:rPr>
        <w:t>17</w:t>
      </w:r>
      <w:r>
        <w:rPr>
          <w:rFonts w:hint="eastAsia"/>
        </w:rPr>
        <w:t>时至</w:t>
      </w:r>
      <w:r>
        <w:rPr>
          <w:rFonts w:hint="eastAsia"/>
        </w:rPr>
        <w:t>7</w:t>
      </w:r>
      <w:r>
        <w:rPr>
          <w:rFonts w:hint="eastAsia"/>
        </w:rPr>
        <w:t>时之间从事的工作；对在工业界以外雇用的未成年人来说，夜间工作为</w:t>
      </w:r>
      <w:r>
        <w:rPr>
          <w:rFonts w:hint="eastAsia"/>
        </w:rPr>
        <w:t>20</w:t>
      </w:r>
      <w:r>
        <w:rPr>
          <w:rFonts w:hint="eastAsia"/>
        </w:rPr>
        <w:t>时至</w:t>
      </w:r>
      <w:r>
        <w:rPr>
          <w:rFonts w:hint="eastAsia"/>
        </w:rPr>
        <w:t>6</w:t>
      </w:r>
      <w:r>
        <w:rPr>
          <w:rFonts w:hint="eastAsia"/>
        </w:rPr>
        <w:t>时之间的工作。然而，如果在面临严重危险或为了保护国家利益的情况下，劳工和社会福利部长可作出裁决，暂时取消禁止未成年人夜间工作的规定。</w:t>
      </w:r>
    </w:p>
    <w:p w:rsidR="00000000" w:rsidRDefault="00000000">
      <w:pPr>
        <w:spacing w:after="320"/>
        <w:ind w:firstLine="600"/>
        <w:rPr>
          <w:rFonts w:hint="eastAsia"/>
        </w:rPr>
      </w:pPr>
      <w:r>
        <w:rPr>
          <w:rFonts w:hint="eastAsia"/>
        </w:rPr>
        <w:t xml:space="preserve">307.  </w:t>
      </w:r>
      <w:r>
        <w:rPr>
          <w:rFonts w:hint="eastAsia"/>
        </w:rPr>
        <w:t>除了宪法规定的对未成年人给予特别保护的要求外，避免任何此类问题的最重要理由是让所有儿童受到免费和义务教育。初级教育法规定父母或领养父母有义务让子女适时入小学、保证该子女正常上学和完成其他学校义务。如果不按照该规定行为，父母或监护人应受到违法指控。此外小学学校有义务向镇或市行政当局、学校部门报告学龄儿童没有入学或不正常上学的情况。</w:t>
      </w:r>
    </w:p>
    <w:p w:rsidR="00000000" w:rsidRDefault="00000000">
      <w:pPr>
        <w:pStyle w:val="Heading4"/>
        <w:jc w:val="center"/>
        <w:rPr>
          <w:rFonts w:hint="eastAsia"/>
        </w:rPr>
      </w:pPr>
      <w:r>
        <w:rPr>
          <w:rFonts w:hint="eastAsia"/>
        </w:rPr>
        <w:t>第</w:t>
      </w:r>
      <w:r>
        <w:rPr>
          <w:rFonts w:hint="eastAsia"/>
        </w:rPr>
        <w:t xml:space="preserve"> 11 </w:t>
      </w:r>
      <w:r>
        <w:rPr>
          <w:rFonts w:hint="eastAsia"/>
        </w:rPr>
        <w:t>条</w:t>
      </w:r>
    </w:p>
    <w:p w:rsidR="00000000" w:rsidRDefault="00000000">
      <w:pPr>
        <w:ind w:firstLine="600"/>
        <w:rPr>
          <w:rFonts w:hint="eastAsia"/>
        </w:rPr>
      </w:pPr>
      <w:r>
        <w:rPr>
          <w:rFonts w:hint="eastAsia"/>
        </w:rPr>
        <w:t xml:space="preserve">308.  </w:t>
      </w:r>
      <w:r>
        <w:rPr>
          <w:rFonts w:hint="eastAsia"/>
        </w:rPr>
        <w:t>克罗地亚共和国立法禁止采取有可能给生产优质食品造成消极影响的任何措施。农业部通过农地法采取保护农业生产的措施。该法规定了对农地不再用于农业生产的情况征税的义务。为了更有效地利用由这一税收所得资金，农业和林业部将税款集中用来执行开垦新耕种地区和使现有耕种地区更有生产力的方案和措施。</w:t>
      </w:r>
    </w:p>
    <w:p w:rsidR="00000000" w:rsidRDefault="00000000">
      <w:pPr>
        <w:ind w:firstLine="600"/>
        <w:rPr>
          <w:rFonts w:hint="eastAsia"/>
        </w:rPr>
      </w:pPr>
      <w:r>
        <w:rPr>
          <w:rFonts w:hint="eastAsia"/>
        </w:rPr>
        <w:t xml:space="preserve">309.  </w:t>
      </w:r>
      <w:r>
        <w:rPr>
          <w:rFonts w:hint="eastAsia"/>
        </w:rPr>
        <w:t>除此之外，该法加强对土地的保护，防止有害物质的污染，以便该土地能生产健康食品。农业和林业部制定了保护农地免遭有害物质影响的特别条例。</w:t>
      </w:r>
    </w:p>
    <w:p w:rsidR="00000000" w:rsidRDefault="00000000">
      <w:pPr>
        <w:ind w:firstLine="600"/>
        <w:rPr>
          <w:rFonts w:hint="eastAsia"/>
        </w:rPr>
      </w:pPr>
      <w:r>
        <w:rPr>
          <w:rFonts w:hint="eastAsia"/>
        </w:rPr>
        <w:t xml:space="preserve">310.  </w:t>
      </w:r>
      <w:r>
        <w:rPr>
          <w:rFonts w:hint="eastAsia"/>
        </w:rPr>
        <w:t>关于农地法修正案的法律规定成立农地研究所及其影响范围。该研究所的建立是为了处理涉及保护农地免遭有害物质污染的事务，其中包括：</w:t>
      </w:r>
    </w:p>
    <w:p w:rsidR="00000000" w:rsidRDefault="00000000">
      <w:pPr>
        <w:numPr>
          <w:ilvl w:val="1"/>
          <w:numId w:val="57"/>
        </w:numPr>
        <w:rPr>
          <w:rFonts w:hint="eastAsia"/>
        </w:rPr>
      </w:pPr>
      <w:r>
        <w:rPr>
          <w:rFonts w:hint="eastAsia"/>
        </w:rPr>
        <w:t>确定农地污染程度；</w:t>
      </w:r>
    </w:p>
    <w:p w:rsidR="00000000" w:rsidRDefault="00000000">
      <w:pPr>
        <w:numPr>
          <w:ilvl w:val="1"/>
          <w:numId w:val="57"/>
        </w:numPr>
        <w:rPr>
          <w:rFonts w:hint="eastAsia"/>
        </w:rPr>
      </w:pPr>
      <w:r>
        <w:rPr>
          <w:rFonts w:hint="eastAsia"/>
        </w:rPr>
        <w:t>长期监测农地，包括长期监测农地各种变化的状况</w:t>
      </w:r>
      <w:r>
        <w:rPr>
          <w:rFonts w:hint="eastAsia"/>
        </w:rPr>
        <w:t>(</w:t>
      </w:r>
      <w:r>
        <w:rPr>
          <w:rFonts w:hint="eastAsia"/>
        </w:rPr>
        <w:t>物理、化学和生物变化</w:t>
      </w:r>
      <w:r>
        <w:rPr>
          <w:rFonts w:hint="eastAsia"/>
        </w:rPr>
        <w:t>)</w:t>
      </w:r>
      <w:r>
        <w:rPr>
          <w:rFonts w:hint="eastAsia"/>
        </w:rPr>
        <w:t>尤其是农地有害物质的含量；</w:t>
      </w:r>
    </w:p>
    <w:p w:rsidR="00000000" w:rsidRDefault="00000000">
      <w:pPr>
        <w:numPr>
          <w:ilvl w:val="1"/>
          <w:numId w:val="57"/>
        </w:numPr>
        <w:rPr>
          <w:rFonts w:hint="eastAsia"/>
        </w:rPr>
      </w:pPr>
      <w:r>
        <w:rPr>
          <w:rFonts w:hint="eastAsia"/>
        </w:rPr>
        <w:t>成立农地数据库，收集各种有关克罗地亚共和国农地的数据，其中包括农地受污染程度的测定结果和长期监测农地状况。</w:t>
      </w:r>
    </w:p>
    <w:p w:rsidR="00000000" w:rsidRDefault="00000000">
      <w:pPr>
        <w:rPr>
          <w:rFonts w:hint="eastAsia"/>
        </w:rPr>
      </w:pPr>
      <w:r>
        <w:rPr>
          <w:rFonts w:hint="eastAsia"/>
        </w:rPr>
        <w:tab/>
        <w:t xml:space="preserve">311.  </w:t>
      </w:r>
      <w:r>
        <w:rPr>
          <w:rFonts w:hint="eastAsia"/>
        </w:rPr>
        <w:t>此外，该机构理事会制定了测试和长期监测农业土地被有害物质污染程度的方案并监督这些方案的执行。</w:t>
      </w:r>
    </w:p>
    <w:p w:rsidR="00000000" w:rsidRDefault="00000000">
      <w:pPr>
        <w:rPr>
          <w:rFonts w:hint="eastAsia"/>
        </w:rPr>
      </w:pPr>
      <w:r>
        <w:rPr>
          <w:rFonts w:hint="eastAsia"/>
        </w:rPr>
        <w:tab/>
        <w:t xml:space="preserve">312.  </w:t>
      </w:r>
      <w:r>
        <w:rPr>
          <w:rFonts w:hint="eastAsia"/>
        </w:rPr>
        <w:t>用世界卫生组织标准测定儿童和青年人营养状况的数据得出的结论是，测试者人体测试指数的分布值与参照分布值类似。然而，人们可以发现该年龄组在身高轴</w:t>
      </w:r>
      <w:r>
        <w:rPr>
          <w:rFonts w:hint="eastAsia"/>
        </w:rPr>
        <w:t>Z</w:t>
      </w:r>
      <w:r>
        <w:rPr>
          <w:rFonts w:hint="eastAsia"/>
        </w:rPr>
        <w:t>上所显示的数字偏右，即数值较高，而在体重与身高比的指数轴</w:t>
      </w:r>
      <w:r>
        <w:rPr>
          <w:rFonts w:hint="eastAsia"/>
        </w:rPr>
        <w:t>Z</w:t>
      </w:r>
      <w:r>
        <w:rPr>
          <w:rFonts w:hint="eastAsia"/>
        </w:rPr>
        <w:t>上显示的数字则偏左，即数值较低，这表明，按参照值来衡量，被测试者有些偏高和偏瘦。</w:t>
      </w:r>
    </w:p>
    <w:p w:rsidR="00000000" w:rsidRDefault="00000000">
      <w:pPr>
        <w:rPr>
          <w:rFonts w:hint="eastAsia"/>
        </w:rPr>
      </w:pPr>
      <w:r>
        <w:rPr>
          <w:rFonts w:hint="eastAsia"/>
        </w:rPr>
        <w:tab/>
        <w:t xml:space="preserve">313.  </w:t>
      </w:r>
      <w:r>
        <w:rPr>
          <w:rFonts w:hint="eastAsia"/>
        </w:rPr>
        <w:t>基于对体重指数的评估，成年人口</w:t>
      </w:r>
      <w:r>
        <w:rPr>
          <w:rFonts w:hint="eastAsia"/>
        </w:rPr>
        <w:t>(18-64</w:t>
      </w:r>
      <w:r>
        <w:rPr>
          <w:rFonts w:hint="eastAsia"/>
        </w:rPr>
        <w:t>岁</w:t>
      </w:r>
      <w:r>
        <w:rPr>
          <w:rFonts w:hint="eastAsia"/>
        </w:rPr>
        <w:t>)</w:t>
      </w:r>
      <w:r>
        <w:rPr>
          <w:rFonts w:hint="eastAsia"/>
        </w:rPr>
        <w:t>的营养状况显示在这一年龄组中，平均</w:t>
      </w:r>
      <w:r>
        <w:rPr>
          <w:rFonts w:hint="eastAsia"/>
        </w:rPr>
        <w:t>8.3%</w:t>
      </w:r>
      <w:r>
        <w:rPr>
          <w:rFonts w:hint="eastAsia"/>
        </w:rPr>
        <w:t>的人极瘦、</w:t>
      </w:r>
      <w:r>
        <w:rPr>
          <w:rFonts w:hint="eastAsia"/>
        </w:rPr>
        <w:t>35.5%</w:t>
      </w:r>
      <w:r>
        <w:rPr>
          <w:rFonts w:hint="eastAsia"/>
        </w:rPr>
        <w:t>为标准体重、</w:t>
      </w:r>
      <w:r>
        <w:rPr>
          <w:rFonts w:hint="eastAsia"/>
        </w:rPr>
        <w:t>56.2%</w:t>
      </w:r>
      <w:r>
        <w:rPr>
          <w:rFonts w:hint="eastAsia"/>
        </w:rPr>
        <w:t>的人超重，其中包括体重实际正在下降的人。</w:t>
      </w:r>
    </w:p>
    <w:p w:rsidR="00000000" w:rsidRDefault="00000000">
      <w:pPr>
        <w:rPr>
          <w:rFonts w:hint="eastAsia"/>
        </w:rPr>
      </w:pPr>
      <w:r>
        <w:rPr>
          <w:rFonts w:hint="eastAsia"/>
        </w:rPr>
        <w:tab/>
        <w:t xml:space="preserve">314.  </w:t>
      </w:r>
      <w:r>
        <w:rPr>
          <w:rFonts w:hint="eastAsia"/>
        </w:rPr>
        <w:t>至于克罗地亚人口的饮食习惯和食品质量，依据对每日三餐的能量和食品构成以及蛋白、脂肪和碳水化合物数量的分析，除了各地区的食品中有一定的差异和具体特点外，在测试的群体中没有发现与建议的平均值有大的差异。这也说明消费的食品数量是令人满意的。</w:t>
      </w:r>
    </w:p>
    <w:p w:rsidR="00000000" w:rsidRDefault="00000000">
      <w:pPr>
        <w:rPr>
          <w:rFonts w:hint="eastAsia"/>
        </w:rPr>
      </w:pPr>
      <w:r>
        <w:rPr>
          <w:rFonts w:hint="eastAsia"/>
        </w:rPr>
        <w:tab/>
        <w:t xml:space="preserve">315.  </w:t>
      </w:r>
      <w:r>
        <w:rPr>
          <w:rFonts w:hint="eastAsia"/>
        </w:rPr>
        <w:t>必须强调对人口各个阶层的饮食质量的分析表明，个人的保护性物质</w:t>
      </w:r>
      <w:r>
        <w:rPr>
          <w:rFonts w:hint="eastAsia"/>
        </w:rPr>
        <w:t>(</w:t>
      </w:r>
      <w:r>
        <w:rPr>
          <w:rFonts w:hint="eastAsia"/>
        </w:rPr>
        <w:t>一些维他命、钙、铁</w:t>
      </w:r>
      <w:r>
        <w:rPr>
          <w:rFonts w:hint="eastAsia"/>
        </w:rPr>
        <w:t>)</w:t>
      </w:r>
      <w:r>
        <w:rPr>
          <w:rFonts w:hint="eastAsia"/>
        </w:rPr>
        <w:t>的构成比建议的日吸收量低。这一定程度上是不正确的饮食习惯的结果；得不到生物价值高的食品也是原因，这些食品常常因经济原因而较难获得。</w:t>
      </w:r>
    </w:p>
    <w:p w:rsidR="00000000" w:rsidRDefault="00000000">
      <w:pPr>
        <w:rPr>
          <w:rFonts w:hint="eastAsia"/>
        </w:rPr>
      </w:pPr>
      <w:r>
        <w:rPr>
          <w:rFonts w:hint="eastAsia"/>
        </w:rPr>
        <w:tab/>
        <w:t xml:space="preserve">316.  </w:t>
      </w:r>
      <w:r>
        <w:rPr>
          <w:rFonts w:hint="eastAsia"/>
        </w:rPr>
        <w:t>表格显示了克罗地亚共和国的平均房价。有关公寓和住宅市场价格的数据不能用来表示克罗地亚共和国整个地区的平均价格，因为本报告所涉期间有许多具体因素影响住房单元的市场价格。</w:t>
      </w:r>
    </w:p>
    <w:p w:rsidR="00000000" w:rsidRDefault="00000000">
      <w:pPr>
        <w:rPr>
          <w:rFonts w:hint="eastAsia"/>
        </w:rPr>
      </w:pPr>
      <w:r>
        <w:rPr>
          <w:rFonts w:hint="eastAsia"/>
        </w:rPr>
        <w:tab/>
        <w:t xml:space="preserve">317.  </w:t>
      </w:r>
      <w:r>
        <w:rPr>
          <w:rFonts w:hint="eastAsia"/>
        </w:rPr>
        <w:t>克罗地亚共和国住宅和公寓市场价取决于许多因素，主要取决于供求关系。要特别强调的是克罗地亚共和国住房市场价格的一个最大因素是与战争威胁的直接距离和要安置许多流离失所者和难民的问题；公寓和住宅购买价格的趋势只能放在这一背景下加以考虑。</w:t>
      </w:r>
    </w:p>
    <w:p w:rsidR="00000000" w:rsidRDefault="00000000">
      <w:pPr>
        <w:rPr>
          <w:rFonts w:hint="eastAsia"/>
        </w:rPr>
      </w:pPr>
      <w:r>
        <w:rPr>
          <w:rFonts w:hint="eastAsia"/>
        </w:rPr>
        <w:tab/>
        <w:t xml:space="preserve">318.  </w:t>
      </w:r>
      <w:r>
        <w:rPr>
          <w:rFonts w:hint="eastAsia"/>
        </w:rPr>
        <w:t>克罗地亚共和国有关公寓楼平均价格</w:t>
      </w:r>
      <w:r>
        <w:rPr>
          <w:rFonts w:hint="eastAsia"/>
        </w:rPr>
        <w:t>(</w:t>
      </w:r>
      <w:r>
        <w:rPr>
          <w:rFonts w:hint="eastAsia"/>
        </w:rPr>
        <w:t>即造价</w:t>
      </w:r>
      <w:r>
        <w:rPr>
          <w:rFonts w:hint="eastAsia"/>
        </w:rPr>
        <w:t>)</w:t>
      </w:r>
      <w:r>
        <w:rPr>
          <w:rFonts w:hint="eastAsia"/>
        </w:rPr>
        <w:t>的数据不包含土地价或向规划的盖房地区埋设公用设施的费用。</w:t>
      </w:r>
    </w:p>
    <w:p w:rsidR="00000000" w:rsidRDefault="00000000">
      <w:pPr>
        <w:rPr>
          <w:rFonts w:hint="eastAsia"/>
        </w:rPr>
      </w:pPr>
      <w:r>
        <w:rPr>
          <w:rFonts w:hint="eastAsia"/>
        </w:rPr>
        <w:tab/>
        <w:t xml:space="preserve">319.  </w:t>
      </w:r>
      <w:r>
        <w:rPr>
          <w:rFonts w:hint="eastAsia"/>
        </w:rPr>
        <w:t>土地和公用设施价格由具体的居民点、居民点的地段和规划的盖房地点已经配备的公用设施程度决定。根据该部的估计，这一价格是建造价格的</w:t>
      </w:r>
      <w:r>
        <w:rPr>
          <w:rFonts w:hint="eastAsia"/>
        </w:rPr>
        <w:t>25%</w:t>
      </w:r>
      <w:r>
        <w:rPr>
          <w:rFonts w:hint="eastAsia"/>
        </w:rPr>
        <w:t>至</w:t>
      </w:r>
      <w:r>
        <w:rPr>
          <w:rFonts w:hint="eastAsia"/>
        </w:rPr>
        <w:t>70,</w:t>
      </w:r>
      <w:r>
        <w:t xml:space="preserve"> </w:t>
      </w:r>
      <w:r>
        <w:rPr>
          <w:rFonts w:hint="eastAsia"/>
        </w:rPr>
        <w:t>这一价格势必要加入建造价格，就是说，土地和基础设施费用占购买价的</w:t>
      </w:r>
      <w:r>
        <w:rPr>
          <w:rFonts w:hint="eastAsia"/>
        </w:rPr>
        <w:t>15%</w:t>
      </w:r>
      <w:r>
        <w:rPr>
          <w:rFonts w:hint="eastAsia"/>
        </w:rPr>
        <w:t>至</w:t>
      </w:r>
      <w:r>
        <w:rPr>
          <w:rFonts w:hint="eastAsia"/>
        </w:rPr>
        <w:t>45%</w:t>
      </w:r>
      <w:r>
        <w:rPr>
          <w:rFonts w:hint="eastAsia"/>
        </w:rPr>
        <w:t>。</w:t>
      </w:r>
    </w:p>
    <w:p w:rsidR="00000000" w:rsidRDefault="00000000">
      <w:pPr>
        <w:rPr>
          <w:rFonts w:hint="eastAsia"/>
        </w:rPr>
      </w:pPr>
      <w:r>
        <w:rPr>
          <w:rFonts w:hint="eastAsia"/>
        </w:rPr>
        <w:tab/>
        <w:t xml:space="preserve">320.  </w:t>
      </w:r>
      <w:r>
        <w:rPr>
          <w:rFonts w:hint="eastAsia"/>
        </w:rPr>
        <w:t>因此，由于这些因素和克罗地亚共和国在过去五年间发生的所有事件，公寓和住宅市场价不是一个反映经济和其他趋势的相关指示数；这样一种指示数可在住房造价中找到，它包含材料价、人工和建筑中的机器价。</w:t>
      </w:r>
    </w:p>
    <w:p w:rsidR="00000000" w:rsidRDefault="00000000">
      <w:pPr>
        <w:rPr>
          <w:rFonts w:hint="eastAsia"/>
        </w:rPr>
      </w:pPr>
      <w:r>
        <w:rPr>
          <w:rFonts w:hint="eastAsia"/>
        </w:rPr>
        <w:tab/>
        <w:t xml:space="preserve">321.  </w:t>
      </w:r>
      <w:r>
        <w:rPr>
          <w:rFonts w:hint="eastAsia"/>
        </w:rPr>
        <w:t>依据克罗地亚达到的社会经济发展程度，该国住房标准在战前比人们预计的要低。今天，克罗地亚标准家庭拥有两室公寓或平均约</w:t>
      </w:r>
      <w:r>
        <w:rPr>
          <w:rFonts w:hint="eastAsia"/>
        </w:rPr>
        <w:t>2.5</w:t>
      </w:r>
      <w:r>
        <w:rPr>
          <w:rFonts w:hint="eastAsia"/>
        </w:rPr>
        <w:t>人总共拥有</w:t>
      </w:r>
      <w:r>
        <w:rPr>
          <w:rFonts w:hint="eastAsia"/>
        </w:rPr>
        <w:t>50</w:t>
      </w:r>
      <w:r>
        <w:rPr>
          <w:rFonts w:hint="eastAsia"/>
        </w:rPr>
        <w:t>平米。</w:t>
      </w:r>
    </w:p>
    <w:p w:rsidR="00000000" w:rsidRDefault="00000000">
      <w:pPr>
        <w:rPr>
          <w:rFonts w:hint="eastAsia"/>
        </w:rPr>
      </w:pPr>
      <w:r>
        <w:rPr>
          <w:rFonts w:hint="eastAsia"/>
        </w:rPr>
        <w:tab/>
        <w:t xml:space="preserve">322.  </w:t>
      </w:r>
      <w:r>
        <w:rPr>
          <w:rFonts w:hint="eastAsia"/>
        </w:rPr>
        <w:t>根据克罗地亚共和国的统计数据，</w:t>
      </w:r>
      <w:r>
        <w:rPr>
          <w:rFonts w:hint="eastAsia"/>
        </w:rPr>
        <w:t>98%</w:t>
      </w:r>
      <w:r>
        <w:rPr>
          <w:rFonts w:hint="eastAsia"/>
        </w:rPr>
        <w:t>的公寓通电、</w:t>
      </w:r>
      <w:r>
        <w:rPr>
          <w:rFonts w:hint="eastAsia"/>
        </w:rPr>
        <w:t>72%</w:t>
      </w:r>
      <w:r>
        <w:rPr>
          <w:rFonts w:hint="eastAsia"/>
        </w:rPr>
        <w:t>有自来水、</w:t>
      </w:r>
      <w:r>
        <w:rPr>
          <w:rFonts w:hint="eastAsia"/>
        </w:rPr>
        <w:t>25%</w:t>
      </w:r>
      <w:r>
        <w:rPr>
          <w:rFonts w:hint="eastAsia"/>
        </w:rPr>
        <w:t>采用中央供暖。通常这些公寓在城市地区并按照建筑标准和准则建造，这里的基础设施水平高。在农村地区，平均情况较城市差，然而因地区而异。农村地区</w:t>
      </w:r>
      <w:r>
        <w:rPr>
          <w:rFonts w:hint="eastAsia"/>
        </w:rPr>
        <w:t>90%</w:t>
      </w:r>
      <w:r>
        <w:rPr>
          <w:rFonts w:hint="eastAsia"/>
        </w:rPr>
        <w:t>的房屋通电，略超过</w:t>
      </w:r>
      <w:r>
        <w:rPr>
          <w:rFonts w:hint="eastAsia"/>
        </w:rPr>
        <w:t>40%</w:t>
      </w:r>
      <w:r>
        <w:rPr>
          <w:rFonts w:hint="eastAsia"/>
        </w:rPr>
        <w:t>的有自来水和略超过</w:t>
      </w:r>
      <w:r>
        <w:rPr>
          <w:rFonts w:hint="eastAsia"/>
        </w:rPr>
        <w:t>10%</w:t>
      </w:r>
      <w:r>
        <w:rPr>
          <w:rFonts w:hint="eastAsia"/>
        </w:rPr>
        <w:t>以上采用中央供暖。</w:t>
      </w:r>
    </w:p>
    <w:p w:rsidR="00000000" w:rsidRDefault="00000000">
      <w:pPr>
        <w:rPr>
          <w:rFonts w:hint="eastAsia"/>
        </w:rPr>
      </w:pPr>
      <w:r>
        <w:rPr>
          <w:rFonts w:hint="eastAsia"/>
        </w:rPr>
        <w:tab/>
        <w:t xml:space="preserve">323.  </w:t>
      </w:r>
      <w:r>
        <w:rPr>
          <w:rFonts w:hint="eastAsia"/>
        </w:rPr>
        <w:t>战争期间克罗地亚</w:t>
      </w:r>
      <w:r>
        <w:rPr>
          <w:rFonts w:hint="eastAsia"/>
        </w:rPr>
        <w:t>590</w:t>
      </w:r>
      <w:r>
        <w:rPr>
          <w:rFonts w:hint="eastAsia"/>
        </w:rPr>
        <w:t>多个居民点遭到破坏，</w:t>
      </w:r>
      <w:r>
        <w:rPr>
          <w:rFonts w:hint="eastAsia"/>
        </w:rPr>
        <w:t>217,900</w:t>
      </w:r>
      <w:r>
        <w:rPr>
          <w:rFonts w:hint="eastAsia"/>
        </w:rPr>
        <w:t>间房屋被摧毁和破坏，估计的损失相当于</w:t>
      </w:r>
      <w:r>
        <w:rPr>
          <w:rFonts w:hint="eastAsia"/>
        </w:rPr>
        <w:t>48.1</w:t>
      </w:r>
      <w:r>
        <w:rPr>
          <w:rFonts w:hint="eastAsia"/>
        </w:rPr>
        <w:t>亿美元</w:t>
      </w:r>
      <w:r>
        <w:rPr>
          <w:rFonts w:hint="eastAsia"/>
        </w:rPr>
        <w:t>(306.2</w:t>
      </w:r>
      <w:r>
        <w:rPr>
          <w:rFonts w:hint="eastAsia"/>
        </w:rPr>
        <w:t>亿库纳</w:t>
      </w:r>
      <w:r>
        <w:rPr>
          <w:rFonts w:hint="eastAsia"/>
        </w:rPr>
        <w:t>)</w:t>
      </w:r>
      <w:r>
        <w:rPr>
          <w:rFonts w:hint="eastAsia"/>
        </w:rPr>
        <w:t>。</w:t>
      </w:r>
      <w:r>
        <w:rPr>
          <w:rFonts w:hint="eastAsia"/>
        </w:rPr>
        <w:t>100</w:t>
      </w:r>
      <w:r>
        <w:rPr>
          <w:rFonts w:hint="eastAsia"/>
        </w:rPr>
        <w:t>多万人丧失家园或居住条件不适当。公寓和家庭住宅的毁坏主要发生在受战争影响地区，一般居民受到严重影响。然而，电厂和长途输电电缆遭到的破坏给克罗地亚南部造成困难局面，特别是自</w:t>
      </w:r>
      <w:r>
        <w:rPr>
          <w:rFonts w:hint="eastAsia"/>
        </w:rPr>
        <w:t>1993</w:t>
      </w:r>
      <w:r>
        <w:rPr>
          <w:rFonts w:hint="eastAsia"/>
        </w:rPr>
        <w:t>年以来，诸如</w:t>
      </w:r>
      <w:r>
        <w:t>Split</w:t>
      </w:r>
      <w:r>
        <w:rPr>
          <w:rFonts w:hint="eastAsia"/>
        </w:rPr>
        <w:t>、</w:t>
      </w:r>
      <w:r>
        <w:t>Zadar</w:t>
      </w:r>
      <w:r>
        <w:rPr>
          <w:rFonts w:hint="eastAsia"/>
        </w:rPr>
        <w:t>、</w:t>
      </w:r>
      <w:r>
        <w:t>Šibenik</w:t>
      </w:r>
      <w:r>
        <w:rPr>
          <w:rFonts w:hint="eastAsia"/>
        </w:rPr>
        <w:t>、</w:t>
      </w:r>
      <w:r>
        <w:t>Dubrovnik</w:t>
      </w:r>
      <w:r>
        <w:rPr>
          <w:rFonts w:hint="eastAsia"/>
        </w:rPr>
        <w:t>等城市连续几个月没有电力或仅断断续续供电，这也意味着这些城市既无热水又无冷水。对诸如供水、排污系统、电力和其他公用设施等基础设施的破坏估计超过</w:t>
      </w:r>
      <w:r>
        <w:rPr>
          <w:rFonts w:hint="eastAsia"/>
        </w:rPr>
        <w:t>27.8</w:t>
      </w:r>
      <w:r>
        <w:rPr>
          <w:rFonts w:hint="eastAsia"/>
        </w:rPr>
        <w:t>亿美元</w:t>
      </w:r>
      <w:r>
        <w:rPr>
          <w:rFonts w:hint="eastAsia"/>
        </w:rPr>
        <w:t>(178.5</w:t>
      </w:r>
      <w:r>
        <w:rPr>
          <w:rFonts w:hint="eastAsia"/>
        </w:rPr>
        <w:t>亿库纳</w:t>
      </w:r>
      <w:r>
        <w:rPr>
          <w:rFonts w:hint="eastAsia"/>
        </w:rPr>
        <w:t>)</w:t>
      </w:r>
      <w:r>
        <w:rPr>
          <w:rFonts w:hint="eastAsia"/>
        </w:rPr>
        <w:t>。</w:t>
      </w:r>
    </w:p>
    <w:p w:rsidR="00000000" w:rsidRDefault="00000000">
      <w:pPr>
        <w:rPr>
          <w:rFonts w:hint="eastAsia"/>
        </w:rPr>
      </w:pPr>
      <w:r>
        <w:rPr>
          <w:rFonts w:hint="eastAsia"/>
        </w:rPr>
        <w:tab/>
        <w:t xml:space="preserve">324.  </w:t>
      </w:r>
      <w:r>
        <w:rPr>
          <w:rFonts w:hint="eastAsia"/>
        </w:rPr>
        <w:t>缺乏水电供应造成额外问题－多数污水和废水处理系统需要有电，马达、发电机和水泵才能运转。此外，</w:t>
      </w:r>
      <w:r>
        <w:t>Dalmatia</w:t>
      </w:r>
      <w:r>
        <w:rPr>
          <w:rFonts w:hint="eastAsia"/>
        </w:rPr>
        <w:t>南部发生严重干旱，暴发各种流行性传染疾病的危险非常高。由于保健部门采取了预防性行动才避免了较大规模的流行病暴发。</w:t>
      </w:r>
    </w:p>
    <w:p w:rsidR="00000000" w:rsidRDefault="00000000">
      <w:pPr>
        <w:rPr>
          <w:rFonts w:hint="eastAsia"/>
        </w:rPr>
      </w:pPr>
      <w:r>
        <w:rPr>
          <w:rFonts w:hint="eastAsia"/>
        </w:rPr>
        <w:tab/>
        <w:t xml:space="preserve">325.  </w:t>
      </w:r>
      <w:r>
        <w:rPr>
          <w:rFonts w:hint="eastAsia"/>
        </w:rPr>
        <w:t>克罗地亚共和国重视住房方案，视之为重建工作的优先方案，因为它是受战争蹂躏地区恢复生活的先决条件。因此，为执行该方案制定了体制、法律和财政框架。自</w:t>
      </w:r>
      <w:r>
        <w:rPr>
          <w:rFonts w:hint="eastAsia"/>
        </w:rPr>
        <w:t>1995</w:t>
      </w:r>
      <w:r>
        <w:rPr>
          <w:rFonts w:hint="eastAsia"/>
        </w:rPr>
        <w:t>年以来，复兴发展部依据“免费”重新建造和配备基本家用物品的原则，组织逐步重建住房工作。到</w:t>
      </w:r>
      <w:r>
        <w:rPr>
          <w:rFonts w:hint="eastAsia"/>
        </w:rPr>
        <w:t>1999</w:t>
      </w:r>
      <w:r>
        <w:rPr>
          <w:rFonts w:hint="eastAsia"/>
        </w:rPr>
        <w:t>年</w:t>
      </w:r>
      <w:r>
        <w:rPr>
          <w:rFonts w:hint="eastAsia"/>
        </w:rPr>
        <w:t>10</w:t>
      </w:r>
      <w:r>
        <w:rPr>
          <w:rFonts w:hint="eastAsia"/>
        </w:rPr>
        <w:t>月中，约</w:t>
      </w:r>
      <w:r>
        <w:rPr>
          <w:rFonts w:hint="eastAsia"/>
        </w:rPr>
        <w:t>93,000</w:t>
      </w:r>
      <w:r>
        <w:rPr>
          <w:rFonts w:hint="eastAsia"/>
        </w:rPr>
        <w:t>个单元已得到恢复和重建。基建投资值为</w:t>
      </w:r>
      <w:r>
        <w:rPr>
          <w:rFonts w:hint="eastAsia"/>
        </w:rPr>
        <w:t>12.8</w:t>
      </w:r>
      <w:r>
        <w:rPr>
          <w:rFonts w:hint="eastAsia"/>
        </w:rPr>
        <w:t>亿美元</w:t>
      </w:r>
      <w:r>
        <w:rPr>
          <w:rFonts w:hint="eastAsia"/>
        </w:rPr>
        <w:t>(90</w:t>
      </w:r>
      <w:r>
        <w:rPr>
          <w:rFonts w:hint="eastAsia"/>
        </w:rPr>
        <w:t>亿库纳</w:t>
      </w:r>
      <w:r>
        <w:rPr>
          <w:rFonts w:hint="eastAsia"/>
        </w:rPr>
        <w:t>)</w:t>
      </w:r>
      <w:r>
        <w:rPr>
          <w:rFonts w:hint="eastAsia"/>
        </w:rPr>
        <w:t>。</w:t>
      </w:r>
    </w:p>
    <w:p w:rsidR="00000000" w:rsidRDefault="00000000">
      <w:pPr>
        <w:rPr>
          <w:rFonts w:hint="eastAsia"/>
        </w:rPr>
      </w:pPr>
      <w:r>
        <w:rPr>
          <w:rFonts w:hint="eastAsia"/>
        </w:rPr>
        <w:tab/>
        <w:t xml:space="preserve">326.  </w:t>
      </w:r>
      <w:r>
        <w:rPr>
          <w:rFonts w:hint="eastAsia"/>
        </w:rPr>
        <w:t>克罗地亚共和国的面积为</w:t>
      </w:r>
      <w:r>
        <w:rPr>
          <w:rFonts w:hint="eastAsia"/>
        </w:rPr>
        <w:t>56,538</w:t>
      </w:r>
      <w:r>
        <w:rPr>
          <w:rFonts w:hint="eastAsia"/>
        </w:rPr>
        <w:t>平方公里，海域为</w:t>
      </w:r>
      <w:r>
        <w:rPr>
          <w:rFonts w:hint="eastAsia"/>
        </w:rPr>
        <w:t>33,700</w:t>
      </w:r>
      <w:r>
        <w:rPr>
          <w:rFonts w:hint="eastAsia"/>
        </w:rPr>
        <w:t>平方公里。全国按地理特点可分为三个明确划分的部分：</w:t>
      </w:r>
    </w:p>
    <w:p w:rsidR="00000000" w:rsidRDefault="00000000">
      <w:pPr>
        <w:numPr>
          <w:ilvl w:val="0"/>
          <w:numId w:val="127"/>
        </w:numPr>
        <w:rPr>
          <w:rFonts w:hint="eastAsia"/>
        </w:rPr>
      </w:pPr>
      <w:r>
        <w:rPr>
          <w:rFonts w:hint="eastAsia"/>
        </w:rPr>
        <w:t>潘诺尼亚区，面积约为</w:t>
      </w:r>
      <w:r>
        <w:rPr>
          <w:rFonts w:hint="eastAsia"/>
        </w:rPr>
        <w:t>28,000</w:t>
      </w:r>
      <w:r>
        <w:rPr>
          <w:rFonts w:hint="eastAsia"/>
        </w:rPr>
        <w:t>平方公里；</w:t>
      </w:r>
    </w:p>
    <w:p w:rsidR="00000000" w:rsidRDefault="00000000">
      <w:pPr>
        <w:numPr>
          <w:ilvl w:val="0"/>
          <w:numId w:val="127"/>
        </w:numPr>
        <w:rPr>
          <w:rFonts w:hint="eastAsia"/>
        </w:rPr>
      </w:pPr>
      <w:r>
        <w:rPr>
          <w:rFonts w:hint="eastAsia"/>
        </w:rPr>
        <w:t>山区，面积约为</w:t>
      </w:r>
      <w:r>
        <w:rPr>
          <w:rFonts w:hint="eastAsia"/>
        </w:rPr>
        <w:t>10,000</w:t>
      </w:r>
      <w:r>
        <w:rPr>
          <w:rFonts w:hint="eastAsia"/>
        </w:rPr>
        <w:t>平方公里；</w:t>
      </w:r>
    </w:p>
    <w:p w:rsidR="00000000" w:rsidRDefault="00000000">
      <w:pPr>
        <w:numPr>
          <w:ilvl w:val="0"/>
          <w:numId w:val="127"/>
        </w:numPr>
        <w:rPr>
          <w:rFonts w:hint="eastAsia"/>
        </w:rPr>
      </w:pPr>
      <w:r>
        <w:rPr>
          <w:rFonts w:hint="eastAsia"/>
        </w:rPr>
        <w:t>沿海和岛屿区，面积约为</w:t>
      </w:r>
      <w:r>
        <w:rPr>
          <w:rFonts w:hint="eastAsia"/>
        </w:rPr>
        <w:t>18,000</w:t>
      </w:r>
      <w:r>
        <w:rPr>
          <w:rFonts w:hint="eastAsia"/>
        </w:rPr>
        <w:t>平方公里。</w:t>
      </w:r>
    </w:p>
    <w:p w:rsidR="00000000" w:rsidRDefault="00000000">
      <w:pPr>
        <w:rPr>
          <w:rFonts w:hint="eastAsia"/>
        </w:rPr>
      </w:pPr>
      <w:r>
        <w:rPr>
          <w:rFonts w:hint="eastAsia"/>
        </w:rPr>
        <w:tab/>
        <w:t xml:space="preserve">327.  </w:t>
      </w:r>
      <w:r>
        <w:rPr>
          <w:rFonts w:hint="eastAsia"/>
        </w:rPr>
        <w:t>这些区的每一个均有其自己的特定气候、水文和水文地质特点。克罗地亚有不同类型的丰富水资源，但分布不均匀。作为饮用水来源，公共供水系统管道</w:t>
      </w:r>
      <w:r>
        <w:rPr>
          <w:rFonts w:hint="eastAsia"/>
        </w:rPr>
        <w:t>90%</w:t>
      </w:r>
      <w:r>
        <w:rPr>
          <w:rFonts w:hint="eastAsia"/>
        </w:rPr>
        <w:t>的水源为地下水，地面水源占约</w:t>
      </w:r>
      <w:r>
        <w:rPr>
          <w:rFonts w:hint="eastAsia"/>
        </w:rPr>
        <w:t>10%</w:t>
      </w:r>
      <w:r>
        <w:rPr>
          <w:rFonts w:hint="eastAsia"/>
        </w:rPr>
        <w:t>。海水几乎不用于供水目的，仅用于工业目的。</w:t>
      </w:r>
    </w:p>
    <w:p w:rsidR="00000000" w:rsidRDefault="00000000">
      <w:pPr>
        <w:rPr>
          <w:rFonts w:hint="eastAsia"/>
        </w:rPr>
      </w:pPr>
      <w:r>
        <w:rPr>
          <w:rFonts w:hint="eastAsia"/>
        </w:rPr>
        <w:tab/>
        <w:t xml:space="preserve">328.  </w:t>
      </w:r>
      <w:r>
        <w:rPr>
          <w:rFonts w:hint="eastAsia"/>
        </w:rPr>
        <w:t>克罗地亚约</w:t>
      </w:r>
      <w:r>
        <w:rPr>
          <w:rFonts w:hint="eastAsia"/>
        </w:rPr>
        <w:t>73%</w:t>
      </w:r>
      <w:r>
        <w:rPr>
          <w:rFonts w:hint="eastAsia"/>
        </w:rPr>
        <w:t>的人口使用公共管道供水系统</w:t>
      </w:r>
      <w:r>
        <w:rPr>
          <w:rFonts w:hint="eastAsia"/>
        </w:rPr>
        <w:t>(</w:t>
      </w:r>
      <w:r>
        <w:rPr>
          <w:rFonts w:hint="eastAsia"/>
        </w:rPr>
        <w:t>城区为</w:t>
      </w:r>
      <w:r>
        <w:rPr>
          <w:rFonts w:hint="eastAsia"/>
        </w:rPr>
        <w:t>80.2%</w:t>
      </w:r>
      <w:r>
        <w:rPr>
          <w:rFonts w:hint="eastAsia"/>
        </w:rPr>
        <w:t>，农村地区为</w:t>
      </w:r>
      <w:r>
        <w:rPr>
          <w:rFonts w:hint="eastAsia"/>
        </w:rPr>
        <w:t>44.1%)</w:t>
      </w:r>
      <w:r>
        <w:rPr>
          <w:rFonts w:hint="eastAsia"/>
        </w:rPr>
        <w:t>。其余人口的饮水来自水井、小山泉和雨水储水器。</w:t>
      </w:r>
    </w:p>
    <w:p w:rsidR="00000000" w:rsidRDefault="00000000">
      <w:pPr>
        <w:rPr>
          <w:rFonts w:hint="eastAsia"/>
        </w:rPr>
      </w:pPr>
      <w:r>
        <w:rPr>
          <w:rFonts w:hint="eastAsia"/>
        </w:rPr>
        <w:tab/>
        <w:t xml:space="preserve">329.  </w:t>
      </w:r>
      <w:r>
        <w:rPr>
          <w:rFonts w:hint="eastAsia"/>
        </w:rPr>
        <w:t>克罗地亚共和国人口的</w:t>
      </w:r>
      <w:r>
        <w:rPr>
          <w:rFonts w:hint="eastAsia"/>
        </w:rPr>
        <w:t>51.2%</w:t>
      </w:r>
      <w:r>
        <w:rPr>
          <w:rFonts w:hint="eastAsia"/>
        </w:rPr>
        <w:t>，即城市的</w:t>
      </w:r>
      <w:r>
        <w:rPr>
          <w:rFonts w:hint="eastAsia"/>
        </w:rPr>
        <w:t>71.3%</w:t>
      </w:r>
      <w:r>
        <w:rPr>
          <w:rFonts w:hint="eastAsia"/>
        </w:rPr>
        <w:t>和农村的</w:t>
      </w:r>
      <w:r>
        <w:rPr>
          <w:rFonts w:hint="eastAsia"/>
        </w:rPr>
        <w:t>25.2%</w:t>
      </w:r>
      <w:r>
        <w:rPr>
          <w:rFonts w:hint="eastAsia"/>
        </w:rPr>
        <w:t>的人口使用适当的排水系统和污水排放系统。</w:t>
      </w:r>
    </w:p>
    <w:p w:rsidR="00000000" w:rsidRDefault="00000000">
      <w:pPr>
        <w:rPr>
          <w:rFonts w:hint="eastAsia"/>
        </w:rPr>
      </w:pPr>
      <w:r>
        <w:rPr>
          <w:rFonts w:hint="eastAsia"/>
        </w:rPr>
        <w:tab/>
        <w:t xml:space="preserve">330.  </w:t>
      </w:r>
      <w:r>
        <w:rPr>
          <w:rFonts w:hint="eastAsia"/>
        </w:rPr>
        <w:t>克罗地亚有</w:t>
      </w:r>
      <w:r>
        <w:rPr>
          <w:rFonts w:hint="eastAsia"/>
        </w:rPr>
        <w:t>150</w:t>
      </w:r>
      <w:r>
        <w:rPr>
          <w:rFonts w:hint="eastAsia"/>
        </w:rPr>
        <w:t>家自来水公司，它们设立了</w:t>
      </w:r>
      <w:r>
        <w:rPr>
          <w:rFonts w:hint="eastAsia"/>
        </w:rPr>
        <w:t>412</w:t>
      </w:r>
      <w:r>
        <w:rPr>
          <w:rFonts w:hint="eastAsia"/>
        </w:rPr>
        <w:t>个公共供水系统。如果古代的管道不计算在内，克罗地亚管道供水系统始于</w:t>
      </w:r>
      <w:r>
        <w:rPr>
          <w:rFonts w:hint="eastAsia"/>
        </w:rPr>
        <w:t>1858</w:t>
      </w:r>
      <w:r>
        <w:rPr>
          <w:rFonts w:hint="eastAsia"/>
        </w:rPr>
        <w:t>年，当时普拉铺设了水管；萨格拉布于</w:t>
      </w:r>
      <w:r>
        <w:rPr>
          <w:rFonts w:hint="eastAsia"/>
        </w:rPr>
        <w:t>1878</w:t>
      </w:r>
      <w:r>
        <w:rPr>
          <w:rFonts w:hint="eastAsia"/>
        </w:rPr>
        <w:t>年铺设水管、</w:t>
      </w:r>
      <w:r>
        <w:t>Senj</w:t>
      </w:r>
      <w:r>
        <w:rPr>
          <w:rFonts w:hint="eastAsia"/>
        </w:rPr>
        <w:t>和</w:t>
      </w:r>
      <w:r>
        <w:t>Opatija</w:t>
      </w:r>
      <w:r>
        <w:rPr>
          <w:rFonts w:hint="eastAsia"/>
        </w:rPr>
        <w:t>于</w:t>
      </w:r>
      <w:r>
        <w:rPr>
          <w:rFonts w:hint="eastAsia"/>
        </w:rPr>
        <w:t>1884</w:t>
      </w:r>
      <w:r>
        <w:rPr>
          <w:rFonts w:hint="eastAsia"/>
        </w:rPr>
        <w:t>年铺设水管、</w:t>
      </w:r>
      <w:r>
        <w:t>Osijek</w:t>
      </w:r>
      <w:r>
        <w:rPr>
          <w:rFonts w:hint="eastAsia"/>
        </w:rPr>
        <w:t>于</w:t>
      </w:r>
      <w:r>
        <w:rPr>
          <w:rFonts w:hint="eastAsia"/>
        </w:rPr>
        <w:t>1889</w:t>
      </w:r>
      <w:r>
        <w:rPr>
          <w:rFonts w:hint="eastAsia"/>
        </w:rPr>
        <w:t>年铺设水管。估计到第二次世界大战时期</w:t>
      </w:r>
      <w:r>
        <w:rPr>
          <w:rFonts w:hint="eastAsia"/>
        </w:rPr>
        <w:t>(1940</w:t>
      </w:r>
      <w:r>
        <w:rPr>
          <w:rFonts w:hint="eastAsia"/>
        </w:rPr>
        <w:t>年</w:t>
      </w:r>
      <w:r>
        <w:rPr>
          <w:rFonts w:hint="eastAsia"/>
        </w:rPr>
        <w:t>)</w:t>
      </w:r>
      <w:r>
        <w:rPr>
          <w:rFonts w:hint="eastAsia"/>
        </w:rPr>
        <w:t>，克罗地亚</w:t>
      </w:r>
      <w:r>
        <w:rPr>
          <w:rFonts w:hint="eastAsia"/>
        </w:rPr>
        <w:t>20%</w:t>
      </w:r>
      <w:r>
        <w:rPr>
          <w:rFonts w:hint="eastAsia"/>
        </w:rPr>
        <w:t>的人口的饮水通过水管道供应。在</w:t>
      </w:r>
      <w:r>
        <w:rPr>
          <w:rFonts w:hint="eastAsia"/>
        </w:rPr>
        <w:t>1991</w:t>
      </w:r>
      <w:r>
        <w:rPr>
          <w:rFonts w:hint="eastAsia"/>
        </w:rPr>
        <w:t>年，</w:t>
      </w:r>
      <w:r>
        <w:rPr>
          <w:rFonts w:hint="eastAsia"/>
        </w:rPr>
        <w:t>63%</w:t>
      </w:r>
      <w:r>
        <w:rPr>
          <w:rFonts w:hint="eastAsia"/>
        </w:rPr>
        <w:t>的人口从公共供水系统获得饮水。对克罗地亚的侵略使公共供水系统</w:t>
      </w:r>
      <w:r>
        <w:rPr>
          <w:rFonts w:hint="eastAsia"/>
        </w:rPr>
        <w:t>10%</w:t>
      </w:r>
      <w:r>
        <w:rPr>
          <w:rFonts w:hint="eastAsia"/>
        </w:rPr>
        <w:t>的能力遭到破坏，</w:t>
      </w:r>
      <w:r>
        <w:rPr>
          <w:rFonts w:hint="eastAsia"/>
        </w:rPr>
        <w:t>200,000</w:t>
      </w:r>
      <w:r>
        <w:rPr>
          <w:rFonts w:hint="eastAsia"/>
        </w:rPr>
        <w:t>人面临缺水威胁。尽管处于战争，克罗地亚到</w:t>
      </w:r>
      <w:r>
        <w:rPr>
          <w:rFonts w:hint="eastAsia"/>
        </w:rPr>
        <w:t>1995</w:t>
      </w:r>
      <w:r>
        <w:rPr>
          <w:rFonts w:hint="eastAsia"/>
        </w:rPr>
        <w:t>年仍将饮水供应增加了约</w:t>
      </w:r>
      <w:r>
        <w:rPr>
          <w:rFonts w:hint="eastAsia"/>
        </w:rPr>
        <w:t>5%</w:t>
      </w:r>
      <w:r>
        <w:rPr>
          <w:rFonts w:hint="eastAsia"/>
        </w:rPr>
        <w:t>。</w:t>
      </w:r>
    </w:p>
    <w:p w:rsidR="00000000" w:rsidRDefault="00000000">
      <w:pPr>
        <w:rPr>
          <w:rFonts w:hint="eastAsia"/>
        </w:rPr>
      </w:pPr>
      <w:r>
        <w:rPr>
          <w:rFonts w:hint="eastAsia"/>
        </w:rPr>
        <w:tab/>
        <w:t xml:space="preserve">331.  </w:t>
      </w:r>
      <w:r>
        <w:rPr>
          <w:rFonts w:hint="eastAsia"/>
        </w:rPr>
        <w:t>克罗地亚饮水的主要来源是河流，如萨瓦河、德拉瓦河或穆尔河。然而，为积雨水而专门建造的蓄水池为水供应提供了一大部分水源。这种蓄水池在克罗地亚南部，特别是达尔马提亚海岸、达尔马提亚内陆和达尔马提亚岛屿，是主要水源。在夏季期间，许多蓄水池干枯，给当地居民造成相当大的困难。许多人从当地河流和溪流取水。在许多情形中，人们用水泵将水从溪流中抽出，然后运送和倒入干枯的蓄水池或水井。</w:t>
      </w:r>
    </w:p>
    <w:p w:rsidR="00000000" w:rsidRDefault="00000000">
      <w:pPr>
        <w:rPr>
          <w:rFonts w:hint="eastAsia"/>
        </w:rPr>
      </w:pPr>
      <w:r>
        <w:rPr>
          <w:rFonts w:hint="eastAsia"/>
        </w:rPr>
        <w:tab/>
        <w:t xml:space="preserve">332.  </w:t>
      </w:r>
      <w:r>
        <w:rPr>
          <w:rFonts w:hint="eastAsia"/>
        </w:rPr>
        <w:t>由公共供水系统供应饮水的程度因县而异</w:t>
      </w:r>
      <w:r>
        <w:rPr>
          <w:rFonts w:hint="eastAsia"/>
        </w:rPr>
        <w:t>(</w:t>
      </w:r>
      <w:r>
        <w:rPr>
          <w:rFonts w:hint="eastAsia"/>
        </w:rPr>
        <w:t>见表</w:t>
      </w:r>
      <w:r>
        <w:rPr>
          <w:rFonts w:hint="eastAsia"/>
        </w:rPr>
        <w:t>1)</w:t>
      </w:r>
      <w:r>
        <w:rPr>
          <w:rFonts w:hint="eastAsia"/>
        </w:rPr>
        <w:t>。在六个县，</w:t>
      </w:r>
      <w:r>
        <w:rPr>
          <w:rFonts w:hint="eastAsia"/>
        </w:rPr>
        <w:t>50%</w:t>
      </w:r>
      <w:r>
        <w:rPr>
          <w:rFonts w:hint="eastAsia"/>
        </w:rPr>
        <w:t>以下的人口饮用来自公共供水系统的水。</w:t>
      </w:r>
    </w:p>
    <w:p w:rsidR="00000000" w:rsidRDefault="00000000">
      <w:pPr>
        <w:rPr>
          <w:rFonts w:hint="eastAsia"/>
        </w:rPr>
      </w:pPr>
      <w:r>
        <w:rPr>
          <w:rFonts w:hint="eastAsia"/>
        </w:rPr>
        <w:tab/>
        <w:t xml:space="preserve">333.  </w:t>
      </w:r>
      <w:r>
        <w:rPr>
          <w:rFonts w:hint="eastAsia"/>
        </w:rPr>
        <w:t>据估计，</w:t>
      </w:r>
      <w:r>
        <w:rPr>
          <w:rFonts w:hint="eastAsia"/>
        </w:rPr>
        <w:t>1998/99</w:t>
      </w:r>
      <w:r>
        <w:rPr>
          <w:rFonts w:hint="eastAsia"/>
        </w:rPr>
        <w:t>年的供应水平约为</w:t>
      </w:r>
      <w:r>
        <w:rPr>
          <w:rFonts w:hint="eastAsia"/>
        </w:rPr>
        <w:t>73%</w:t>
      </w:r>
      <w:r>
        <w:rPr>
          <w:rFonts w:hint="eastAsia"/>
        </w:rPr>
        <w:t>。这一估计数依据的数据是过去</w:t>
      </w:r>
      <w:r>
        <w:rPr>
          <w:rFonts w:hint="eastAsia"/>
        </w:rPr>
        <w:t>20</w:t>
      </w:r>
      <w:r>
        <w:rPr>
          <w:rFonts w:hint="eastAsia"/>
        </w:rPr>
        <w:t>年里公共供水系统按每年约</w:t>
      </w:r>
      <w:r>
        <w:rPr>
          <w:rFonts w:hint="eastAsia"/>
        </w:rPr>
        <w:t>1%</w:t>
      </w:r>
      <w:r>
        <w:rPr>
          <w:rFonts w:hint="eastAsia"/>
        </w:rPr>
        <w:t>的增长速度发展。</w:t>
      </w:r>
    </w:p>
    <w:p w:rsidR="00000000" w:rsidRDefault="00000000">
      <w:pPr>
        <w:rPr>
          <w:rFonts w:hint="eastAsia"/>
        </w:rPr>
      </w:pPr>
      <w:r>
        <w:rPr>
          <w:rFonts w:hint="eastAsia"/>
        </w:rPr>
        <w:tab/>
        <w:t xml:space="preserve">334.  </w:t>
      </w:r>
      <w:r>
        <w:rPr>
          <w:rFonts w:hint="eastAsia"/>
        </w:rPr>
        <w:t>一些工业设施，特别是较大城市的工业设施构成相当大的威胁，因为它们是饮水的潜在污染源。例如，在萨格拉布，一些抽水站因为被工厂废料排放出的化学物质污染而不得不关闭。令人遗憾的是，萨格拉布与其他大城市一样，没有水净化系统；为此原因，它无法降低水污染程度。</w:t>
      </w:r>
    </w:p>
    <w:p w:rsidR="00000000" w:rsidRDefault="00000000">
      <w:pPr>
        <w:rPr>
          <w:rFonts w:hint="eastAsia"/>
        </w:rPr>
      </w:pPr>
      <w:r>
        <w:rPr>
          <w:rFonts w:hint="eastAsia"/>
        </w:rPr>
        <w:tab/>
        <w:t xml:space="preserve">335.  </w:t>
      </w:r>
      <w:r>
        <w:rPr>
          <w:rFonts w:hint="eastAsia"/>
        </w:rPr>
        <w:t>在缺乏长期饮用水源的县和地区以及在定居点分散和救济条件困难的地区，饮水供应情况严峻。亚得里亚海各群岛</w:t>
      </w:r>
      <w:r>
        <w:rPr>
          <w:rFonts w:hint="eastAsia"/>
        </w:rPr>
        <w:t>(</w:t>
      </w:r>
      <w:r>
        <w:t>Cres</w:t>
      </w:r>
      <w:r>
        <w:rPr>
          <w:rFonts w:hint="eastAsia"/>
        </w:rPr>
        <w:t>、</w:t>
      </w:r>
      <w:r>
        <w:t>Losinj</w:t>
      </w:r>
      <w:r>
        <w:rPr>
          <w:rFonts w:hint="eastAsia"/>
        </w:rPr>
        <w:t>、</w:t>
      </w:r>
      <w:r>
        <w:t>Krk</w:t>
      </w:r>
      <w:r>
        <w:rPr>
          <w:rFonts w:hint="eastAsia"/>
        </w:rPr>
        <w:t>和</w:t>
      </w:r>
      <w:r>
        <w:t>Rab</w:t>
      </w:r>
      <w:r>
        <w:rPr>
          <w:rFonts w:hint="eastAsia"/>
        </w:rPr>
        <w:t>群岛除外</w:t>
      </w:r>
      <w:r>
        <w:rPr>
          <w:rFonts w:hint="eastAsia"/>
        </w:rPr>
        <w:t>)</w:t>
      </w:r>
      <w:r>
        <w:rPr>
          <w:rFonts w:hint="eastAsia"/>
        </w:rPr>
        <w:t>和远离海岸线的内地属饮水自给有严重困难的地区。属于克罗地亚共和国内陆部分的县，水源情况较好，但公共系统的实际供应并不适足。</w:t>
      </w:r>
    </w:p>
    <w:p w:rsidR="00000000" w:rsidRDefault="00000000">
      <w:pPr>
        <w:rPr>
          <w:rFonts w:hint="eastAsia"/>
        </w:rPr>
      </w:pPr>
      <w:r>
        <w:rPr>
          <w:rFonts w:hint="eastAsia"/>
        </w:rPr>
        <w:tab/>
        <w:t xml:space="preserve">336.  </w:t>
      </w:r>
      <w:r>
        <w:rPr>
          <w:rFonts w:hint="eastAsia"/>
        </w:rPr>
        <w:t>大城市并非所有家庭的饮水都来自管道。有些居民，特别是在郊区也使用蓄水池，无论是单个的</w:t>
      </w:r>
      <w:r>
        <w:rPr>
          <w:rFonts w:hint="eastAsia"/>
        </w:rPr>
        <w:t>(</w:t>
      </w:r>
      <w:r>
        <w:rPr>
          <w:rFonts w:hint="eastAsia"/>
        </w:rPr>
        <w:t>每一住家有自己的蓄水池</w:t>
      </w:r>
      <w:r>
        <w:rPr>
          <w:rFonts w:hint="eastAsia"/>
        </w:rPr>
        <w:t>)</w:t>
      </w:r>
      <w:r>
        <w:rPr>
          <w:rFonts w:hint="eastAsia"/>
        </w:rPr>
        <w:t>或公用的。污水排放系统属于类似情况</w:t>
      </w:r>
      <w:r>
        <w:rPr>
          <w:rFonts w:hint="eastAsia"/>
          <w:spacing w:val="-40"/>
          <w:sz w:val="22"/>
        </w:rPr>
        <w:t>——</w:t>
      </w:r>
      <w:r>
        <w:rPr>
          <w:sz w:val="22"/>
        </w:rPr>
        <w:t xml:space="preserve"> </w:t>
      </w:r>
      <w:r>
        <w:rPr>
          <w:rFonts w:hint="eastAsia"/>
        </w:rPr>
        <w:t>中央系统并不涵盖整个城市</w:t>
      </w:r>
      <w:r>
        <w:rPr>
          <w:rFonts w:hint="eastAsia"/>
        </w:rPr>
        <w:t>(</w:t>
      </w:r>
      <w:r>
        <w:rPr>
          <w:rFonts w:hint="eastAsia"/>
        </w:rPr>
        <w:t>郊区人民让其污水直接流入地下</w:t>
      </w:r>
      <w:r>
        <w:rPr>
          <w:rFonts w:hint="eastAsia"/>
        </w:rPr>
        <w:t>)</w:t>
      </w:r>
      <w:r>
        <w:rPr>
          <w:rFonts w:hint="eastAsia"/>
        </w:rPr>
        <w:t>。</w:t>
      </w:r>
    </w:p>
    <w:p w:rsidR="00000000" w:rsidRDefault="00000000">
      <w:r>
        <w:rPr>
          <w:rFonts w:hint="eastAsia"/>
        </w:rPr>
        <w:tab/>
        <w:t xml:space="preserve">337.  </w:t>
      </w:r>
      <w:r>
        <w:rPr>
          <w:rFonts w:hint="eastAsia"/>
        </w:rPr>
        <w:t>公共自来水公司按照克罗地亚条例</w:t>
      </w:r>
      <w:r>
        <w:rPr>
          <w:rFonts w:hint="eastAsia"/>
        </w:rPr>
        <w:t>(</w:t>
      </w:r>
      <w:r>
        <w:rPr>
          <w:rFonts w:hint="eastAsia"/>
        </w:rPr>
        <w:t>有关饮用水健康的条例</w:t>
      </w:r>
      <w:r>
        <w:rPr>
          <w:rFonts w:hint="eastAsia"/>
        </w:rPr>
        <w:t>)</w:t>
      </w:r>
      <w:r>
        <w:rPr>
          <w:rFonts w:hint="eastAsia"/>
        </w:rPr>
        <w:t>向消费者提供饮用水，这些条例已根据欧盟的条例作了修订。克罗地亚各县的公共健康研究所、克罗地亚公共健康研究所和卫生部授权的其他机构抽取水样，送到试验室化验，按监测公共卫生的原则测试其卫生程度。</w:t>
      </w:r>
    </w:p>
    <w:p w:rsidR="00000000" w:rsidRDefault="00000000">
      <w:pPr>
        <w:pStyle w:val="Heading3"/>
        <w:rPr>
          <w:rFonts w:hint="eastAsia"/>
        </w:rPr>
      </w:pPr>
      <w:r>
        <w:rPr>
          <w:rFonts w:hint="eastAsia"/>
        </w:rPr>
        <w:t>表</w:t>
      </w:r>
      <w:r>
        <w:rPr>
          <w:rFonts w:hint="eastAsia"/>
        </w:rPr>
        <w:t>1.  1995</w:t>
      </w:r>
      <w:r>
        <w:rPr>
          <w:rFonts w:hint="eastAsia"/>
        </w:rPr>
        <w:t>年各县人口获得公共供水系统饮水供应的程度</w:t>
      </w:r>
    </w:p>
    <w:tbl>
      <w:tblPr>
        <w:tblW w:w="0" w:type="auto"/>
        <w:tblInd w:w="68" w:type="dxa"/>
        <w:tblLayout w:type="fixed"/>
        <w:tblCellMar>
          <w:left w:w="68" w:type="dxa"/>
          <w:right w:w="68" w:type="dxa"/>
        </w:tblCellMar>
        <w:tblLook w:val="0000" w:firstRow="0" w:lastRow="0" w:firstColumn="0" w:lastColumn="0" w:noHBand="0" w:noVBand="0"/>
      </w:tblPr>
      <w:tblGrid>
        <w:gridCol w:w="3885"/>
        <w:gridCol w:w="2310"/>
        <w:gridCol w:w="1890"/>
        <w:gridCol w:w="1260"/>
      </w:tblGrid>
      <w:tr w:rsidR="00000000">
        <w:tblPrEx>
          <w:tblCellMar>
            <w:top w:w="0" w:type="dxa"/>
            <w:bottom w:w="0" w:type="dxa"/>
          </w:tblCellMar>
        </w:tblPrEx>
        <w:trPr>
          <w:cantSplit/>
          <w:trHeight w:val="461"/>
        </w:trPr>
        <w:tc>
          <w:tcPr>
            <w:tcW w:w="3885" w:type="dxa"/>
            <w:vMerge w:val="restart"/>
            <w:tcBorders>
              <w:top w:val="double" w:sz="4" w:space="0" w:color="auto"/>
              <w:left w:val="double" w:sz="4" w:space="0" w:color="auto"/>
              <w:bottom w:val="single" w:sz="4" w:space="0" w:color="auto"/>
              <w:right w:val="single" w:sz="4" w:space="0" w:color="auto"/>
            </w:tcBorders>
          </w:tcPr>
          <w:p w:rsidR="00000000" w:rsidRDefault="00000000">
            <w:pPr>
              <w:spacing w:line="75" w:lineRule="exact"/>
              <w:rPr>
                <w:sz w:val="22"/>
                <w:szCs w:val="22"/>
                <w:lang w:val="en-GB"/>
              </w:rPr>
            </w:pPr>
          </w:p>
          <w:p w:rsidR="00000000" w:rsidRDefault="00000000">
            <w:pPr>
              <w:tabs>
                <w:tab w:val="center" w:pos="1841"/>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240"/>
              <w:ind w:left="510"/>
              <w:rPr>
                <w:rFonts w:hint="eastAsia"/>
                <w:sz w:val="22"/>
                <w:szCs w:val="22"/>
                <w:lang w:val="en-GB"/>
              </w:rPr>
            </w:pPr>
            <w:r>
              <w:rPr>
                <w:rFonts w:hint="eastAsia"/>
                <w:sz w:val="22"/>
                <w:szCs w:val="22"/>
                <w:lang w:val="en-GB"/>
              </w:rPr>
              <w:t>县</w:t>
            </w:r>
            <w:r>
              <w:rPr>
                <w:sz w:val="22"/>
                <w:szCs w:val="22"/>
                <w:lang w:val="en-GB"/>
              </w:rPr>
              <w:t xml:space="preserve">  </w:t>
            </w:r>
            <w:r>
              <w:rPr>
                <w:rFonts w:hint="eastAsia"/>
                <w:sz w:val="22"/>
                <w:szCs w:val="22"/>
                <w:lang w:val="en-GB"/>
              </w:rPr>
              <w:t>名</w:t>
            </w:r>
          </w:p>
        </w:tc>
        <w:tc>
          <w:tcPr>
            <w:tcW w:w="2310" w:type="dxa"/>
            <w:vMerge w:val="restart"/>
            <w:tcBorders>
              <w:top w:val="doub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240"/>
              <w:jc w:val="center"/>
              <w:rPr>
                <w:rFonts w:hint="eastAsia"/>
                <w:sz w:val="22"/>
                <w:szCs w:val="22"/>
                <w:lang w:val="en-GB"/>
              </w:rPr>
            </w:pPr>
            <w:r>
              <w:rPr>
                <w:rFonts w:hint="eastAsia"/>
                <w:sz w:val="22"/>
                <w:szCs w:val="22"/>
                <w:lang w:val="en-GB"/>
              </w:rPr>
              <w:t>人</w:t>
            </w:r>
            <w:r>
              <w:rPr>
                <w:sz w:val="22"/>
                <w:szCs w:val="22"/>
                <w:lang w:val="en-GB"/>
              </w:rPr>
              <w:t xml:space="preserve">  </w:t>
            </w:r>
            <w:r>
              <w:rPr>
                <w:rFonts w:hint="eastAsia"/>
                <w:sz w:val="22"/>
                <w:szCs w:val="22"/>
                <w:lang w:val="en-GB"/>
              </w:rPr>
              <w:t>口</w:t>
            </w:r>
          </w:p>
        </w:tc>
        <w:tc>
          <w:tcPr>
            <w:tcW w:w="3150" w:type="dxa"/>
            <w:gridSpan w:val="2"/>
            <w:tcBorders>
              <w:top w:val="double" w:sz="4" w:space="0" w:color="auto"/>
              <w:left w:val="single" w:sz="4" w:space="0" w:color="auto"/>
              <w:bottom w:val="single" w:sz="4" w:space="0" w:color="auto"/>
              <w:right w:val="doub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120"/>
              <w:jc w:val="center"/>
              <w:rPr>
                <w:rFonts w:hint="eastAsia"/>
                <w:sz w:val="22"/>
                <w:szCs w:val="22"/>
                <w:lang w:val="en-GB"/>
              </w:rPr>
            </w:pPr>
            <w:r>
              <w:rPr>
                <w:rFonts w:hint="eastAsia"/>
                <w:sz w:val="22"/>
                <w:szCs w:val="22"/>
                <w:lang w:val="en-GB"/>
              </w:rPr>
              <w:t>供应百分比</w:t>
            </w:r>
          </w:p>
        </w:tc>
      </w:tr>
      <w:tr w:rsidR="00000000">
        <w:tblPrEx>
          <w:tblCellMar>
            <w:top w:w="0" w:type="dxa"/>
            <w:bottom w:w="0" w:type="dxa"/>
          </w:tblCellMar>
        </w:tblPrEx>
        <w:trPr>
          <w:cantSplit/>
          <w:trHeight w:hRule="exact" w:val="424"/>
        </w:trPr>
        <w:tc>
          <w:tcPr>
            <w:tcW w:w="3885" w:type="dxa"/>
            <w:vMerge/>
            <w:tcBorders>
              <w:top w:val="single" w:sz="4" w:space="0" w:color="auto"/>
              <w:left w:val="double" w:sz="4" w:space="0" w:color="auto"/>
              <w:bottom w:val="doub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75"/>
              <w:rPr>
                <w:sz w:val="22"/>
                <w:szCs w:val="22"/>
                <w:lang w:val="en-GB"/>
              </w:rPr>
            </w:pPr>
          </w:p>
        </w:tc>
        <w:tc>
          <w:tcPr>
            <w:tcW w:w="2310" w:type="dxa"/>
            <w:vMerge/>
            <w:tcBorders>
              <w:top w:val="single" w:sz="4" w:space="0" w:color="auto"/>
              <w:left w:val="single" w:sz="4" w:space="0" w:color="auto"/>
              <w:bottom w:val="doub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75"/>
              <w:rPr>
                <w:sz w:val="22"/>
                <w:szCs w:val="22"/>
                <w:lang w:val="en-GB"/>
              </w:rPr>
            </w:pPr>
          </w:p>
        </w:tc>
        <w:tc>
          <w:tcPr>
            <w:tcW w:w="1890" w:type="dxa"/>
            <w:tcBorders>
              <w:top w:val="single" w:sz="4" w:space="0" w:color="auto"/>
              <w:left w:val="single" w:sz="4" w:space="0" w:color="auto"/>
              <w:bottom w:val="double" w:sz="4" w:space="0" w:color="auto"/>
              <w:right w:val="single" w:sz="4" w:space="0" w:color="auto"/>
            </w:tcBorders>
          </w:tcPr>
          <w:p w:rsidR="00000000" w:rsidRDefault="00000000">
            <w:pPr>
              <w:spacing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60"/>
              <w:jc w:val="center"/>
              <w:rPr>
                <w:rFonts w:hint="eastAsia"/>
                <w:sz w:val="22"/>
                <w:szCs w:val="22"/>
                <w:lang w:val="en-GB"/>
              </w:rPr>
            </w:pPr>
            <w:r>
              <w:rPr>
                <w:rFonts w:hint="eastAsia"/>
                <w:sz w:val="22"/>
                <w:szCs w:val="22"/>
                <w:lang w:val="en-GB"/>
              </w:rPr>
              <w:t>人</w:t>
            </w:r>
            <w:r>
              <w:rPr>
                <w:sz w:val="22"/>
                <w:szCs w:val="22"/>
                <w:lang w:val="en-GB"/>
              </w:rPr>
              <w:t xml:space="preserve"> </w:t>
            </w:r>
            <w:r>
              <w:rPr>
                <w:rFonts w:hint="eastAsia"/>
                <w:sz w:val="22"/>
                <w:szCs w:val="22"/>
                <w:lang w:val="en-GB"/>
              </w:rPr>
              <w:t>数</w:t>
            </w:r>
          </w:p>
        </w:tc>
        <w:tc>
          <w:tcPr>
            <w:tcW w:w="1260" w:type="dxa"/>
            <w:tcBorders>
              <w:top w:val="single" w:sz="4" w:space="0" w:color="auto"/>
              <w:left w:val="single" w:sz="4" w:space="0" w:color="auto"/>
              <w:bottom w:val="double" w:sz="4" w:space="0" w:color="auto"/>
              <w:right w:val="doub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60" w:after="75"/>
              <w:jc w:val="center"/>
              <w:rPr>
                <w:rFonts w:hint="eastAsia"/>
                <w:sz w:val="22"/>
                <w:szCs w:val="22"/>
                <w:lang w:val="en-GB"/>
              </w:rPr>
            </w:pPr>
            <w:r>
              <w:rPr>
                <w:rFonts w:hint="eastAsia"/>
                <w:sz w:val="22"/>
                <w:szCs w:val="22"/>
                <w:lang w:val="en-GB"/>
              </w:rPr>
              <w:t>百分比</w:t>
            </w:r>
          </w:p>
        </w:tc>
      </w:tr>
      <w:tr w:rsidR="00000000">
        <w:tblPrEx>
          <w:tblCellMar>
            <w:top w:w="0" w:type="dxa"/>
            <w:bottom w:w="0" w:type="dxa"/>
          </w:tblCellMar>
        </w:tblPrEx>
        <w:tc>
          <w:tcPr>
            <w:tcW w:w="3885" w:type="dxa"/>
            <w:tcBorders>
              <w:top w:val="double" w:sz="4" w:space="0" w:color="auto"/>
              <w:left w:val="double" w:sz="4" w:space="0" w:color="auto"/>
              <w:bottom w:val="single" w:sz="4" w:space="0" w:color="auto"/>
              <w:right w:val="single" w:sz="4" w:space="0" w:color="auto"/>
            </w:tcBorders>
          </w:tcPr>
          <w:p w:rsidR="00000000" w:rsidRDefault="00000000">
            <w:pPr>
              <w:spacing w:before="40" w:line="75" w:lineRule="exact"/>
              <w:rPr>
                <w:b/>
                <w:bCs/>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Bjelovarsko-bilogorska</w:t>
            </w:r>
          </w:p>
        </w:tc>
        <w:tc>
          <w:tcPr>
            <w:tcW w:w="2310" w:type="dxa"/>
            <w:tcBorders>
              <w:top w:val="double" w:sz="4" w:space="0" w:color="auto"/>
              <w:left w:val="single" w:sz="4" w:space="0" w:color="auto"/>
              <w:bottom w:val="single" w:sz="4" w:space="0" w:color="auto"/>
              <w:right w:val="single" w:sz="4" w:space="0" w:color="auto"/>
            </w:tcBorders>
          </w:tcPr>
          <w:p w:rsidR="00000000" w:rsidRDefault="00000000">
            <w:pPr>
              <w:spacing w:before="40" w:line="75"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141,100</w:t>
            </w:r>
          </w:p>
        </w:tc>
        <w:tc>
          <w:tcPr>
            <w:tcW w:w="1890" w:type="dxa"/>
            <w:tcBorders>
              <w:top w:val="double" w:sz="4" w:space="0" w:color="auto"/>
              <w:left w:val="single" w:sz="4" w:space="0" w:color="auto"/>
              <w:bottom w:val="single" w:sz="4" w:space="0" w:color="auto"/>
              <w:right w:val="single" w:sz="4" w:space="0" w:color="auto"/>
            </w:tcBorders>
          </w:tcPr>
          <w:p w:rsidR="00000000" w:rsidRDefault="00000000">
            <w:pPr>
              <w:spacing w:before="40" w:line="75"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46,500</w:t>
            </w:r>
          </w:p>
        </w:tc>
        <w:tc>
          <w:tcPr>
            <w:tcW w:w="1260" w:type="dxa"/>
            <w:tcBorders>
              <w:top w:val="double" w:sz="4" w:space="0" w:color="auto"/>
              <w:left w:val="single" w:sz="4" w:space="0" w:color="auto"/>
              <w:bottom w:val="single" w:sz="4" w:space="0" w:color="auto"/>
              <w:right w:val="double" w:sz="4" w:space="0" w:color="auto"/>
            </w:tcBorders>
          </w:tcPr>
          <w:p w:rsidR="00000000" w:rsidRDefault="00000000">
            <w:pPr>
              <w:spacing w:before="40" w:line="75"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33</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Brodsko-posavska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175,000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58,600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34</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Koprivnicko-krizevacka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129,900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46,800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36</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Vukovarsko-srijemska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231,200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94,300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41</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Pozeško-slavonska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134,500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56,000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42</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Sisaksko-moslavacka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287,000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139,400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49</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Viroviticko-podravska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104,600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57,000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55</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Osjeksko-baranjska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311,100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183,200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59</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Zadarska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272,000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168,000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62</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LiCHko-senjska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71,200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45,600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64</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Krapinsko-zagorska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149,600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96,900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65</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Karlovacka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174,100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124,000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71</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Varazdinska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197,300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139,900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75</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Meðimurska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119,900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90,800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76</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Istarska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204,300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164,100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80</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Zagrebaska-grad Zagreb</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1,034,900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849,400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82</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Šibensko kninska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109,200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91,600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84</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Primorsko-goranska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323,100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286,600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88</w:t>
            </w:r>
          </w:p>
        </w:tc>
      </w:tr>
      <w:tr w:rsidR="00000000">
        <w:tblPrEx>
          <w:tblCellMar>
            <w:top w:w="0" w:type="dxa"/>
            <w:bottom w:w="0" w:type="dxa"/>
          </w:tblCellMar>
        </w:tblPrEx>
        <w:tc>
          <w:tcPr>
            <w:tcW w:w="3885" w:type="dxa"/>
            <w:tcBorders>
              <w:top w:val="single" w:sz="4" w:space="0" w:color="auto"/>
              <w:left w:val="doub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Splitsko-dalmatinska</w:t>
            </w:r>
          </w:p>
        </w:tc>
        <w:tc>
          <w:tcPr>
            <w:tcW w:w="231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474,000</w:t>
            </w:r>
          </w:p>
        </w:tc>
        <w:tc>
          <w:tcPr>
            <w:tcW w:w="1890" w:type="dxa"/>
            <w:tcBorders>
              <w:top w:val="single" w:sz="4" w:space="0" w:color="auto"/>
              <w:left w:val="single" w:sz="4" w:space="0" w:color="auto"/>
              <w:bottom w:val="sing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423,500</w:t>
            </w:r>
          </w:p>
        </w:tc>
        <w:tc>
          <w:tcPr>
            <w:tcW w:w="1260" w:type="dxa"/>
            <w:tcBorders>
              <w:top w:val="single" w:sz="4" w:space="0" w:color="auto"/>
              <w:left w:val="single" w:sz="4" w:space="0" w:color="auto"/>
              <w:bottom w:val="sing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89</w:t>
            </w:r>
          </w:p>
        </w:tc>
      </w:tr>
      <w:tr w:rsidR="00000000">
        <w:tblPrEx>
          <w:tblCellMar>
            <w:top w:w="0" w:type="dxa"/>
            <w:bottom w:w="0" w:type="dxa"/>
          </w:tblCellMar>
        </w:tblPrEx>
        <w:tc>
          <w:tcPr>
            <w:tcW w:w="3885" w:type="dxa"/>
            <w:tcBorders>
              <w:top w:val="single" w:sz="4" w:space="0" w:color="auto"/>
              <w:left w:val="double" w:sz="4" w:space="0" w:color="auto"/>
              <w:bottom w:val="doub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sz w:val="22"/>
                <w:szCs w:val="22"/>
                <w:lang w:val="en-GB"/>
              </w:rPr>
            </w:pPr>
            <w:r>
              <w:rPr>
                <w:sz w:val="22"/>
                <w:szCs w:val="22"/>
                <w:lang w:val="en-GB"/>
              </w:rPr>
              <w:t>DubrovaNicko-neretvanska</w:t>
            </w:r>
          </w:p>
        </w:tc>
        <w:tc>
          <w:tcPr>
            <w:tcW w:w="2310" w:type="dxa"/>
            <w:tcBorders>
              <w:top w:val="single" w:sz="4" w:space="0" w:color="auto"/>
              <w:left w:val="single" w:sz="4" w:space="0" w:color="auto"/>
              <w:bottom w:val="doub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126,300</w:t>
            </w:r>
          </w:p>
        </w:tc>
        <w:tc>
          <w:tcPr>
            <w:tcW w:w="1890" w:type="dxa"/>
            <w:tcBorders>
              <w:top w:val="single" w:sz="4" w:space="0" w:color="auto"/>
              <w:left w:val="single" w:sz="4" w:space="0" w:color="auto"/>
              <w:bottom w:val="doub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 xml:space="preserve">  114,200</w:t>
            </w:r>
          </w:p>
        </w:tc>
        <w:tc>
          <w:tcPr>
            <w:tcW w:w="1260" w:type="dxa"/>
            <w:tcBorders>
              <w:top w:val="single" w:sz="4" w:space="0" w:color="auto"/>
              <w:left w:val="single" w:sz="4" w:space="0" w:color="auto"/>
              <w:bottom w:val="double" w:sz="4" w:space="0" w:color="auto"/>
              <w:right w:val="doub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sz w:val="22"/>
                <w:szCs w:val="22"/>
                <w:lang w:val="en-GB"/>
              </w:rPr>
              <w:t>90</w:t>
            </w:r>
          </w:p>
        </w:tc>
      </w:tr>
      <w:tr w:rsidR="00000000">
        <w:tblPrEx>
          <w:tblCellMar>
            <w:top w:w="0" w:type="dxa"/>
            <w:bottom w:w="0" w:type="dxa"/>
          </w:tblCellMar>
        </w:tblPrEx>
        <w:tc>
          <w:tcPr>
            <w:tcW w:w="3885" w:type="dxa"/>
            <w:tcBorders>
              <w:top w:val="double" w:sz="4" w:space="0" w:color="auto"/>
              <w:left w:val="double" w:sz="4" w:space="0" w:color="auto"/>
              <w:bottom w:val="double" w:sz="4" w:space="0" w:color="auto"/>
              <w:right w:val="single" w:sz="4" w:space="0" w:color="auto"/>
            </w:tcBorders>
          </w:tcPr>
          <w:p w:rsidR="00000000" w:rsidRDefault="00000000">
            <w:pPr>
              <w:spacing w:before="40" w:line="56" w:lineRule="exact"/>
              <w:rPr>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rPr>
                <w:rFonts w:hint="eastAsia"/>
                <w:b/>
                <w:bCs/>
                <w:sz w:val="22"/>
                <w:szCs w:val="22"/>
                <w:lang w:val="en-GB"/>
              </w:rPr>
            </w:pPr>
            <w:r>
              <w:rPr>
                <w:sz w:val="22"/>
                <w:szCs w:val="22"/>
                <w:lang w:val="en-GB"/>
              </w:rPr>
              <w:t xml:space="preserve">     </w:t>
            </w:r>
            <w:r>
              <w:rPr>
                <w:rFonts w:hint="eastAsia"/>
                <w:b/>
                <w:bCs/>
                <w:sz w:val="22"/>
                <w:szCs w:val="22"/>
                <w:lang w:val="en-GB"/>
              </w:rPr>
              <w:t>全</w:t>
            </w:r>
            <w:r>
              <w:rPr>
                <w:rFonts w:hint="eastAsia"/>
                <w:b/>
                <w:bCs/>
                <w:sz w:val="22"/>
                <w:szCs w:val="22"/>
                <w:lang w:val="en-GB"/>
              </w:rPr>
              <w:t xml:space="preserve">  </w:t>
            </w:r>
            <w:r>
              <w:rPr>
                <w:rFonts w:hint="eastAsia"/>
                <w:b/>
                <w:bCs/>
                <w:sz w:val="22"/>
                <w:szCs w:val="22"/>
                <w:lang w:val="en-GB"/>
              </w:rPr>
              <w:t>国</w:t>
            </w:r>
          </w:p>
        </w:tc>
        <w:tc>
          <w:tcPr>
            <w:tcW w:w="2310" w:type="dxa"/>
            <w:tcBorders>
              <w:top w:val="double" w:sz="4" w:space="0" w:color="auto"/>
              <w:left w:val="single" w:sz="4" w:space="0" w:color="auto"/>
              <w:bottom w:val="double" w:sz="4" w:space="0" w:color="auto"/>
              <w:right w:val="single" w:sz="4" w:space="0" w:color="auto"/>
            </w:tcBorders>
          </w:tcPr>
          <w:p w:rsidR="00000000" w:rsidRDefault="00000000">
            <w:pPr>
              <w:spacing w:before="40" w:line="56" w:lineRule="exact"/>
              <w:rPr>
                <w:b/>
                <w:bCs/>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b/>
                <w:bCs/>
                <w:sz w:val="22"/>
                <w:szCs w:val="22"/>
                <w:lang w:val="en-GB"/>
              </w:rPr>
            </w:pPr>
            <w:r>
              <w:rPr>
                <w:b/>
                <w:bCs/>
                <w:sz w:val="22"/>
                <w:szCs w:val="22"/>
                <w:lang w:val="en-GB"/>
              </w:rPr>
              <w:t>4,784,300</w:t>
            </w:r>
          </w:p>
        </w:tc>
        <w:tc>
          <w:tcPr>
            <w:tcW w:w="1890" w:type="dxa"/>
            <w:tcBorders>
              <w:top w:val="double" w:sz="4" w:space="0" w:color="auto"/>
              <w:left w:val="single" w:sz="4" w:space="0" w:color="auto"/>
              <w:bottom w:val="double" w:sz="4" w:space="0" w:color="auto"/>
              <w:right w:val="single" w:sz="4" w:space="0" w:color="auto"/>
            </w:tcBorders>
          </w:tcPr>
          <w:p w:rsidR="00000000" w:rsidRDefault="00000000">
            <w:pPr>
              <w:spacing w:before="40" w:line="56" w:lineRule="exact"/>
              <w:rPr>
                <w:b/>
                <w:bCs/>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b/>
                <w:bCs/>
                <w:sz w:val="22"/>
                <w:szCs w:val="22"/>
                <w:lang w:val="en-GB"/>
              </w:rPr>
            </w:pPr>
            <w:r>
              <w:rPr>
                <w:b/>
                <w:bCs/>
                <w:sz w:val="22"/>
                <w:szCs w:val="22"/>
                <w:lang w:val="en-GB"/>
              </w:rPr>
              <w:t>3,274,200</w:t>
            </w:r>
          </w:p>
        </w:tc>
        <w:tc>
          <w:tcPr>
            <w:tcW w:w="1260" w:type="dxa"/>
            <w:tcBorders>
              <w:top w:val="double" w:sz="4" w:space="0" w:color="auto"/>
              <w:left w:val="single" w:sz="4" w:space="0" w:color="auto"/>
              <w:bottom w:val="double" w:sz="4" w:space="0" w:color="auto"/>
              <w:right w:val="double" w:sz="4" w:space="0" w:color="auto"/>
            </w:tcBorders>
          </w:tcPr>
          <w:p w:rsidR="00000000" w:rsidRDefault="00000000">
            <w:pPr>
              <w:spacing w:before="40" w:line="56" w:lineRule="exact"/>
              <w:rPr>
                <w:b/>
                <w:bCs/>
                <w:sz w:val="22"/>
                <w:szCs w:val="22"/>
                <w:lang w:val="en-GB"/>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jc w:val="center"/>
              <w:rPr>
                <w:sz w:val="22"/>
                <w:szCs w:val="22"/>
                <w:lang w:val="en-GB"/>
              </w:rPr>
            </w:pPr>
            <w:r>
              <w:rPr>
                <w:b/>
                <w:bCs/>
                <w:sz w:val="22"/>
                <w:szCs w:val="22"/>
                <w:lang w:val="en-GB"/>
              </w:rPr>
              <w:t xml:space="preserve">  68.4</w:t>
            </w:r>
          </w:p>
        </w:tc>
      </w:tr>
    </w:tbl>
    <w:p w:rsidR="00000000" w:rsidRDefault="00000000"/>
    <w:p w:rsidR="00000000" w:rsidRDefault="00000000">
      <w:pPr>
        <w:rPr>
          <w:rFonts w:hint="eastAsia"/>
        </w:rPr>
      </w:pPr>
      <w:r>
        <w:rPr>
          <w:rFonts w:hint="eastAsia"/>
        </w:rPr>
        <w:tab/>
        <w:t xml:space="preserve">338.  </w:t>
      </w:r>
      <w:r>
        <w:rPr>
          <w:rFonts w:hint="eastAsia"/>
        </w:rPr>
        <w:t>今天，战争已完全结束，克罗地亚有可能更认真地处理住房和饮水供应问题。克罗地亚已作出相当大的努力，重建被破坏的房屋、修复遭破坏的基础设施和必要时提供完整的基础设施，如自来水、电力和污水排放系统。克罗地亚正重新审查和起草该领域的一些法律，如环境保护法。新法律将保证执行预防性措施，并设想加强监督，对违法情况课以重罚。</w:t>
      </w:r>
    </w:p>
    <w:p w:rsidR="00000000" w:rsidRDefault="00000000">
      <w:pPr>
        <w:rPr>
          <w:rFonts w:hint="eastAsia"/>
        </w:rPr>
      </w:pPr>
      <w:r>
        <w:rPr>
          <w:rFonts w:hint="eastAsia"/>
        </w:rPr>
        <w:tab/>
        <w:t xml:space="preserve">339.  </w:t>
      </w:r>
      <w:r>
        <w:rPr>
          <w:rFonts w:hint="eastAsia"/>
        </w:rPr>
        <w:t>正如上文已经提到，许多城镇，特别是达尔马提亚海岸的水电供应受到巨大干扰，时间长度各不相等，但有时长达数月。污水排放和废料处理系统也受到影响。在任何地方和任何时间采取的紧急措施仅能够解决受影响的人口的一小部分问题。提供确切的数字虽然有困难，但据估计该地区约</w:t>
      </w:r>
      <w:r>
        <w:rPr>
          <w:rFonts w:hint="eastAsia"/>
        </w:rPr>
        <w:t>50%</w:t>
      </w:r>
      <w:r>
        <w:rPr>
          <w:rFonts w:hint="eastAsia"/>
        </w:rPr>
        <w:t>的人口曾经并仍然缺乏淡水和污水处理等基本服务。大量流离失所者和难民抵达受影响的地区，有些地区的住房设施已遭到严重破坏，加剧了已十分困难的情况。难民在他们曾经生活过的地区重新融合也是产生该问题的原因。</w:t>
      </w:r>
    </w:p>
    <w:p w:rsidR="00000000" w:rsidRDefault="00000000">
      <w:pPr>
        <w:rPr>
          <w:rFonts w:hint="eastAsia"/>
        </w:rPr>
      </w:pPr>
      <w:r>
        <w:rPr>
          <w:rFonts w:hint="eastAsia"/>
        </w:rPr>
        <w:tab/>
        <w:t xml:space="preserve">340.  </w:t>
      </w:r>
      <w:r>
        <w:rPr>
          <w:rFonts w:hint="eastAsia"/>
        </w:rPr>
        <w:t>尽管如此，供水系统即使在遭到严重战争破坏的地区均在运转，但质量因地而异。具体而言，在武科瓦尔，尽管水供应系统仍在运转，但它提供的水的质量令人怀疑，并被视为诸如痢疾和肝炎等水传染疾病发病率增加的根源。住在再融合地区的主要是农村人口；农村使用水井，从中打出的水的质量各种各样，从可以接受到极其好等不同程度。</w:t>
      </w:r>
      <w:r>
        <w:t>Okucani</w:t>
      </w:r>
      <w:r>
        <w:rPr>
          <w:rFonts w:hint="eastAsia"/>
        </w:rPr>
        <w:t>的饮水供应情况是一个例外，这里萨瓦河流泛滥，造成该地区的水井污染。</w:t>
      </w:r>
      <w:r>
        <w:t>Daruvar</w:t>
      </w:r>
      <w:r>
        <w:rPr>
          <w:rFonts w:hint="eastAsia"/>
        </w:rPr>
        <w:t>也被确认为水质不好的地区。战争期间，这里的水净化工厂遭到轰炸，供水系统提供有难闻气味的脏水。地方当局试图用净化物质，主要是氯来改善水质。</w:t>
      </w:r>
    </w:p>
    <w:p w:rsidR="00000000" w:rsidRDefault="00000000">
      <w:pPr>
        <w:rPr>
          <w:rFonts w:hint="eastAsia"/>
        </w:rPr>
      </w:pPr>
      <w:r>
        <w:rPr>
          <w:rFonts w:hint="eastAsia"/>
        </w:rPr>
        <w:tab/>
        <w:t xml:space="preserve">341.  </w:t>
      </w:r>
      <w:r>
        <w:rPr>
          <w:rFonts w:hint="eastAsia"/>
        </w:rPr>
        <w:t>水的卫生程度和质量主要取决于其自然构成，随后取决于适当保护目前和未来饮用水源，保护区的定义载于立法。应该强调克罗地亚仍有一定数量的水源没有被规定为保护卫生区；而在确实已被确定为卫生保护区的地方，有关可在特定地区从事的活动的规定常常遭到违反。</w:t>
      </w:r>
    </w:p>
    <w:p w:rsidR="00000000" w:rsidRDefault="00000000">
      <w:pPr>
        <w:rPr>
          <w:rFonts w:hint="eastAsia"/>
        </w:rPr>
      </w:pPr>
      <w:r>
        <w:rPr>
          <w:rFonts w:hint="eastAsia"/>
        </w:rPr>
        <w:tab/>
        <w:t xml:space="preserve">342.  </w:t>
      </w:r>
      <w:r>
        <w:rPr>
          <w:rFonts w:hint="eastAsia"/>
        </w:rPr>
        <w:t>表</w:t>
      </w:r>
      <w:r>
        <w:rPr>
          <w:rFonts w:hint="eastAsia"/>
        </w:rPr>
        <w:t>2</w:t>
      </w:r>
      <w:r>
        <w:rPr>
          <w:rFonts w:hint="eastAsia"/>
        </w:rPr>
        <w:t>显示了从</w:t>
      </w:r>
      <w:r>
        <w:rPr>
          <w:rFonts w:hint="eastAsia"/>
        </w:rPr>
        <w:t>1992</w:t>
      </w:r>
      <w:r>
        <w:rPr>
          <w:rFonts w:hint="eastAsia"/>
        </w:rPr>
        <w:t>年至</w:t>
      </w:r>
      <w:r>
        <w:rPr>
          <w:rFonts w:hint="eastAsia"/>
        </w:rPr>
        <w:t>1998</w:t>
      </w:r>
      <w:r>
        <w:rPr>
          <w:rFonts w:hint="eastAsia"/>
        </w:rPr>
        <w:t>年对饮用水安全情况的化验结果。从总体上看，我们对公共供水系统提供的水的安全情况可以感到满意。近几年，令人不能满意的抽样数在</w:t>
      </w:r>
      <w:r>
        <w:rPr>
          <w:rFonts w:hint="eastAsia"/>
        </w:rPr>
        <w:t>10%</w:t>
      </w:r>
      <w:r>
        <w:rPr>
          <w:rFonts w:hint="eastAsia"/>
        </w:rPr>
        <w:t>以下。对不尽人意的原因进行的分析表明，没有发现有毒化学物质超出参考标准的情况，病原菌种微乎其微。</w:t>
      </w:r>
    </w:p>
    <w:p w:rsidR="00000000" w:rsidRDefault="00000000">
      <w:pPr>
        <w:pStyle w:val="Heading3"/>
        <w:spacing w:after="120" w:line="192" w:lineRule="auto"/>
        <w:rPr>
          <w:rFonts w:hint="eastAsia"/>
        </w:rPr>
      </w:pPr>
      <w:r>
        <w:rPr>
          <w:rFonts w:hint="eastAsia"/>
        </w:rPr>
        <w:t>表</w:t>
      </w:r>
      <w:r>
        <w:rPr>
          <w:rFonts w:hint="eastAsia"/>
        </w:rPr>
        <w:t>2.  1992</w:t>
      </w:r>
      <w:r>
        <w:rPr>
          <w:rFonts w:hint="eastAsia"/>
        </w:rPr>
        <w:t>年至</w:t>
      </w:r>
      <w:r>
        <w:rPr>
          <w:rFonts w:hint="eastAsia"/>
        </w:rPr>
        <w:t>1998</w:t>
      </w:r>
      <w:r>
        <w:rPr>
          <w:rFonts w:hint="eastAsia"/>
        </w:rPr>
        <w:t>年期间饮用水安全情况测试结果</w:t>
      </w:r>
    </w:p>
    <w:tbl>
      <w:tblPr>
        <w:tblW w:w="8925" w:type="dxa"/>
        <w:tblInd w:w="277" w:type="dxa"/>
        <w:tblLayout w:type="fixed"/>
        <w:tblCellMar>
          <w:left w:w="67" w:type="dxa"/>
          <w:right w:w="67" w:type="dxa"/>
        </w:tblCellMar>
        <w:tblLook w:val="0000" w:firstRow="0" w:lastRow="0" w:firstColumn="0" w:lastColumn="0" w:noHBand="0" w:noVBand="0"/>
      </w:tblPr>
      <w:tblGrid>
        <w:gridCol w:w="1422"/>
        <w:gridCol w:w="1833"/>
        <w:gridCol w:w="987"/>
        <w:gridCol w:w="1140"/>
        <w:gridCol w:w="1338"/>
        <w:gridCol w:w="1050"/>
        <w:gridCol w:w="1155"/>
      </w:tblGrid>
      <w:tr w:rsidR="00000000">
        <w:tblPrEx>
          <w:tblCellMar>
            <w:top w:w="0" w:type="dxa"/>
            <w:bottom w:w="0" w:type="dxa"/>
          </w:tblCellMar>
        </w:tblPrEx>
        <w:trPr>
          <w:cantSplit/>
        </w:trPr>
        <w:tc>
          <w:tcPr>
            <w:tcW w:w="1422" w:type="dxa"/>
            <w:vMerge w:val="restart"/>
            <w:tcBorders>
              <w:top w:val="single" w:sz="7" w:space="0" w:color="000000"/>
              <w:left w:val="single" w:sz="7" w:space="0" w:color="000000"/>
              <w:bottom w:val="nil"/>
              <w:right w:val="single" w:sz="6" w:space="0" w:color="FFFFFF"/>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600" w:after="100" w:afterAutospacing="1" w:line="192" w:lineRule="auto"/>
              <w:jc w:val="center"/>
              <w:rPr>
                <w:rFonts w:hint="eastAsia"/>
                <w:sz w:val="21"/>
                <w:szCs w:val="22"/>
                <w:lang w:val="en-GB"/>
              </w:rPr>
            </w:pPr>
            <w:r>
              <w:rPr>
                <w:rFonts w:hint="eastAsia"/>
                <w:sz w:val="21"/>
                <w:szCs w:val="22"/>
                <w:lang w:val="en-GB"/>
              </w:rPr>
              <w:t>年</w:t>
            </w:r>
            <w:r>
              <w:rPr>
                <w:rFonts w:hint="eastAsia"/>
                <w:sz w:val="21"/>
                <w:szCs w:val="22"/>
                <w:lang w:val="en-GB"/>
              </w:rPr>
              <w:t xml:space="preserve"> </w:t>
            </w:r>
            <w:r>
              <w:rPr>
                <w:rFonts w:hint="eastAsia"/>
                <w:sz w:val="21"/>
                <w:szCs w:val="22"/>
                <w:lang w:val="en-GB"/>
              </w:rPr>
              <w:t>份</w:t>
            </w:r>
          </w:p>
        </w:tc>
        <w:tc>
          <w:tcPr>
            <w:tcW w:w="3960" w:type="dxa"/>
            <w:gridSpan w:val="3"/>
            <w:tcBorders>
              <w:top w:val="single" w:sz="7" w:space="0" w:color="000000"/>
              <w:left w:val="single" w:sz="7" w:space="0" w:color="000000"/>
              <w:bottom w:val="single" w:sz="6" w:space="0" w:color="FFFFFF"/>
              <w:right w:val="single" w:sz="8" w:space="0" w:color="000000"/>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120" w:after="28" w:line="192" w:lineRule="auto"/>
              <w:jc w:val="center"/>
              <w:rPr>
                <w:rFonts w:hint="eastAsia"/>
                <w:sz w:val="21"/>
                <w:szCs w:val="22"/>
                <w:lang w:val="en-GB"/>
              </w:rPr>
            </w:pPr>
            <w:r>
              <w:rPr>
                <w:rFonts w:hint="eastAsia"/>
                <w:sz w:val="21"/>
                <w:szCs w:val="22"/>
                <w:lang w:val="en-GB"/>
              </w:rPr>
              <w:t>化学成分</w:t>
            </w:r>
          </w:p>
        </w:tc>
        <w:tc>
          <w:tcPr>
            <w:tcW w:w="3543" w:type="dxa"/>
            <w:gridSpan w:val="3"/>
            <w:tcBorders>
              <w:top w:val="single" w:sz="8" w:space="0" w:color="000000"/>
              <w:left w:val="single" w:sz="8" w:space="0" w:color="000000"/>
              <w:bottom w:val="single" w:sz="6" w:space="0" w:color="FFFFFF"/>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120" w:after="28" w:line="192" w:lineRule="auto"/>
              <w:jc w:val="center"/>
              <w:rPr>
                <w:rFonts w:hint="eastAsia"/>
                <w:sz w:val="21"/>
                <w:szCs w:val="22"/>
                <w:lang w:val="en-GB"/>
              </w:rPr>
            </w:pPr>
            <w:r>
              <w:rPr>
                <w:rFonts w:hint="eastAsia"/>
                <w:sz w:val="21"/>
                <w:szCs w:val="22"/>
                <w:lang w:val="en-GB"/>
              </w:rPr>
              <w:t>微</w:t>
            </w:r>
            <w:r>
              <w:rPr>
                <w:rFonts w:hint="eastAsia"/>
                <w:sz w:val="21"/>
                <w:szCs w:val="22"/>
                <w:lang w:val="en-GB"/>
              </w:rPr>
              <w:t xml:space="preserve"> </w:t>
            </w:r>
            <w:r>
              <w:rPr>
                <w:rFonts w:hint="eastAsia"/>
                <w:sz w:val="21"/>
                <w:szCs w:val="22"/>
                <w:lang w:val="en-GB"/>
              </w:rPr>
              <w:t>生</w:t>
            </w:r>
            <w:r>
              <w:rPr>
                <w:rFonts w:hint="eastAsia"/>
                <w:sz w:val="21"/>
                <w:szCs w:val="22"/>
                <w:lang w:val="en-GB"/>
              </w:rPr>
              <w:t xml:space="preserve"> </w:t>
            </w:r>
            <w:r>
              <w:rPr>
                <w:rFonts w:hint="eastAsia"/>
                <w:sz w:val="21"/>
                <w:szCs w:val="22"/>
                <w:lang w:val="en-GB"/>
              </w:rPr>
              <w:t>物</w:t>
            </w:r>
          </w:p>
        </w:tc>
      </w:tr>
      <w:tr w:rsidR="00000000">
        <w:tblPrEx>
          <w:tblCellMar>
            <w:top w:w="0" w:type="dxa"/>
            <w:bottom w:w="0" w:type="dxa"/>
          </w:tblCellMar>
        </w:tblPrEx>
        <w:trPr>
          <w:cantSplit/>
        </w:trPr>
        <w:tc>
          <w:tcPr>
            <w:tcW w:w="1422" w:type="dxa"/>
            <w:vMerge/>
            <w:tcBorders>
              <w:top w:val="nil"/>
              <w:left w:val="single" w:sz="7" w:space="0" w:color="000000"/>
              <w:bottom w:val="nil"/>
              <w:right w:val="single" w:sz="6" w:space="0" w:color="FFFFFF"/>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8" w:line="192" w:lineRule="auto"/>
              <w:rPr>
                <w:sz w:val="21"/>
                <w:szCs w:val="22"/>
                <w:lang w:val="en-GB"/>
              </w:rPr>
            </w:pPr>
          </w:p>
        </w:tc>
        <w:tc>
          <w:tcPr>
            <w:tcW w:w="1833" w:type="dxa"/>
            <w:vMerge w:val="restart"/>
            <w:tcBorders>
              <w:top w:val="single" w:sz="7" w:space="0" w:color="000000"/>
              <w:left w:val="single" w:sz="7" w:space="0" w:color="000000"/>
              <w:bottom w:val="nil"/>
              <w:right w:val="single" w:sz="7" w:space="0" w:color="000000"/>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360" w:after="28" w:line="192" w:lineRule="auto"/>
              <w:jc w:val="center"/>
              <w:rPr>
                <w:rFonts w:hint="eastAsia"/>
                <w:sz w:val="21"/>
                <w:szCs w:val="22"/>
                <w:lang w:val="en-GB"/>
              </w:rPr>
            </w:pPr>
            <w:r>
              <w:rPr>
                <w:rFonts w:hint="eastAsia"/>
                <w:sz w:val="21"/>
                <w:szCs w:val="22"/>
                <w:lang w:val="en-GB"/>
              </w:rPr>
              <w:t>试验抽样</w:t>
            </w:r>
          </w:p>
        </w:tc>
        <w:tc>
          <w:tcPr>
            <w:tcW w:w="2127" w:type="dxa"/>
            <w:gridSpan w:val="2"/>
            <w:tcBorders>
              <w:top w:val="single" w:sz="7" w:space="0" w:color="000000"/>
              <w:left w:val="single" w:sz="6" w:space="0" w:color="FFFFFF"/>
              <w:bottom w:val="single" w:sz="6" w:space="0" w:color="FFFFFF"/>
              <w:right w:val="single" w:sz="8" w:space="0" w:color="000000"/>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80" w:after="28" w:line="192" w:lineRule="auto"/>
              <w:jc w:val="center"/>
              <w:rPr>
                <w:rFonts w:hint="eastAsia"/>
                <w:sz w:val="21"/>
                <w:szCs w:val="22"/>
                <w:lang w:val="en-GB"/>
              </w:rPr>
            </w:pPr>
            <w:r>
              <w:rPr>
                <w:rFonts w:hint="eastAsia"/>
                <w:sz w:val="21"/>
                <w:szCs w:val="22"/>
                <w:lang w:val="en-GB"/>
              </w:rPr>
              <w:t>不</w:t>
            </w:r>
            <w:r>
              <w:rPr>
                <w:rFonts w:hint="eastAsia"/>
                <w:sz w:val="21"/>
                <w:szCs w:val="22"/>
                <w:lang w:val="en-GB"/>
              </w:rPr>
              <w:t xml:space="preserve"> </w:t>
            </w:r>
            <w:r>
              <w:rPr>
                <w:rFonts w:hint="eastAsia"/>
                <w:sz w:val="21"/>
                <w:szCs w:val="22"/>
                <w:lang w:val="en-GB"/>
              </w:rPr>
              <w:t>安</w:t>
            </w:r>
            <w:r>
              <w:rPr>
                <w:rFonts w:hint="eastAsia"/>
                <w:sz w:val="21"/>
                <w:szCs w:val="22"/>
                <w:lang w:val="en-GB"/>
              </w:rPr>
              <w:t xml:space="preserve"> </w:t>
            </w:r>
            <w:r>
              <w:rPr>
                <w:rFonts w:hint="eastAsia"/>
                <w:sz w:val="21"/>
                <w:szCs w:val="22"/>
                <w:lang w:val="en-GB"/>
              </w:rPr>
              <w:t>全</w:t>
            </w:r>
          </w:p>
        </w:tc>
        <w:tc>
          <w:tcPr>
            <w:tcW w:w="1338" w:type="dxa"/>
            <w:vMerge w:val="restart"/>
            <w:tcBorders>
              <w:top w:val="single" w:sz="7" w:space="0" w:color="000000"/>
              <w:left w:val="single" w:sz="8" w:space="0" w:color="000000"/>
              <w:bottom w:val="nil"/>
              <w:right w:val="single" w:sz="8" w:space="0" w:color="000000"/>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360" w:after="28" w:line="192" w:lineRule="auto"/>
              <w:jc w:val="center"/>
              <w:rPr>
                <w:rFonts w:hint="eastAsia"/>
                <w:sz w:val="21"/>
                <w:szCs w:val="22"/>
                <w:lang w:val="en-GB"/>
              </w:rPr>
            </w:pPr>
            <w:r>
              <w:rPr>
                <w:rFonts w:hint="eastAsia"/>
                <w:sz w:val="21"/>
                <w:szCs w:val="22"/>
                <w:lang w:val="en-GB"/>
              </w:rPr>
              <w:t>试验抽样</w:t>
            </w:r>
          </w:p>
        </w:tc>
        <w:tc>
          <w:tcPr>
            <w:tcW w:w="2205" w:type="dxa"/>
            <w:gridSpan w:val="2"/>
            <w:tcBorders>
              <w:top w:val="single" w:sz="7" w:space="0" w:color="000000"/>
              <w:left w:val="single" w:sz="8" w:space="0" w:color="000000"/>
              <w:bottom w:val="single" w:sz="6" w:space="0" w:color="FFFFFF"/>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80" w:after="28" w:line="192" w:lineRule="auto"/>
              <w:jc w:val="center"/>
              <w:rPr>
                <w:rFonts w:hint="eastAsia"/>
                <w:sz w:val="21"/>
                <w:szCs w:val="22"/>
                <w:lang w:val="en-GB"/>
              </w:rPr>
            </w:pPr>
            <w:r>
              <w:rPr>
                <w:rFonts w:hint="eastAsia"/>
                <w:sz w:val="21"/>
                <w:szCs w:val="22"/>
                <w:lang w:val="en-GB"/>
              </w:rPr>
              <w:t>不安全</w:t>
            </w:r>
          </w:p>
        </w:tc>
      </w:tr>
      <w:tr w:rsidR="00000000">
        <w:tblPrEx>
          <w:tblCellMar>
            <w:top w:w="0" w:type="dxa"/>
            <w:bottom w:w="0" w:type="dxa"/>
          </w:tblCellMar>
        </w:tblPrEx>
        <w:trPr>
          <w:cantSplit/>
        </w:trPr>
        <w:tc>
          <w:tcPr>
            <w:tcW w:w="1422" w:type="dxa"/>
            <w:vMerge/>
            <w:tcBorders>
              <w:top w:val="nil"/>
              <w:left w:val="single" w:sz="7" w:space="0" w:color="000000"/>
              <w:bottom w:val="single" w:sz="8" w:space="0" w:color="000000"/>
              <w:right w:val="single" w:sz="6" w:space="0" w:color="FFFFFF"/>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8" w:line="192" w:lineRule="auto"/>
              <w:rPr>
                <w:sz w:val="21"/>
                <w:szCs w:val="22"/>
                <w:lang w:val="en-GB"/>
              </w:rPr>
            </w:pPr>
          </w:p>
        </w:tc>
        <w:tc>
          <w:tcPr>
            <w:tcW w:w="1833" w:type="dxa"/>
            <w:vMerge/>
            <w:tcBorders>
              <w:top w:val="nil"/>
              <w:left w:val="single" w:sz="7" w:space="0" w:color="000000"/>
              <w:bottom w:val="single" w:sz="8" w:space="0" w:color="000000"/>
              <w:right w:val="single" w:sz="7" w:space="0" w:color="000000"/>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8" w:line="192" w:lineRule="auto"/>
              <w:rPr>
                <w:sz w:val="21"/>
                <w:szCs w:val="22"/>
                <w:lang w:val="en-GB"/>
              </w:rPr>
            </w:pPr>
          </w:p>
        </w:tc>
        <w:tc>
          <w:tcPr>
            <w:tcW w:w="987" w:type="dxa"/>
            <w:tcBorders>
              <w:top w:val="single" w:sz="7" w:space="0" w:color="000000"/>
              <w:left w:val="single" w:sz="6" w:space="0" w:color="FFFFFF"/>
              <w:bottom w:val="single" w:sz="8" w:space="0" w:color="000000"/>
              <w:right w:val="single" w:sz="6" w:space="0" w:color="FFFFFF"/>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80" w:after="28" w:line="192" w:lineRule="auto"/>
              <w:jc w:val="center"/>
              <w:rPr>
                <w:rFonts w:hint="eastAsia"/>
                <w:sz w:val="21"/>
                <w:szCs w:val="22"/>
                <w:lang w:val="en-GB"/>
              </w:rPr>
            </w:pPr>
            <w:r>
              <w:rPr>
                <w:rFonts w:hint="eastAsia"/>
                <w:sz w:val="21"/>
                <w:szCs w:val="22"/>
                <w:lang w:val="en-GB"/>
              </w:rPr>
              <w:t>份</w:t>
            </w:r>
            <w:r>
              <w:rPr>
                <w:rFonts w:hint="eastAsia"/>
                <w:sz w:val="21"/>
                <w:szCs w:val="22"/>
                <w:lang w:val="en-GB"/>
              </w:rPr>
              <w:t xml:space="preserve"> </w:t>
            </w:r>
            <w:r>
              <w:rPr>
                <w:rFonts w:hint="eastAsia"/>
                <w:sz w:val="21"/>
                <w:szCs w:val="22"/>
                <w:lang w:val="en-GB"/>
              </w:rPr>
              <w:t>数</w:t>
            </w:r>
          </w:p>
        </w:tc>
        <w:tc>
          <w:tcPr>
            <w:tcW w:w="1140" w:type="dxa"/>
            <w:tcBorders>
              <w:top w:val="single" w:sz="7" w:space="0" w:color="000000"/>
              <w:left w:val="single" w:sz="7" w:space="0" w:color="000000"/>
              <w:bottom w:val="single" w:sz="8" w:space="0" w:color="000000"/>
              <w:right w:val="single" w:sz="6" w:space="0" w:color="FFFFFF"/>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80" w:after="28" w:line="192" w:lineRule="auto"/>
              <w:jc w:val="center"/>
              <w:rPr>
                <w:rFonts w:hint="eastAsia"/>
                <w:sz w:val="21"/>
                <w:szCs w:val="22"/>
                <w:lang w:val="en-GB"/>
              </w:rPr>
            </w:pPr>
            <w:r>
              <w:rPr>
                <w:rFonts w:hint="eastAsia"/>
                <w:sz w:val="21"/>
                <w:szCs w:val="22"/>
                <w:lang w:val="en-GB"/>
              </w:rPr>
              <w:t>百分比</w:t>
            </w:r>
          </w:p>
        </w:tc>
        <w:tc>
          <w:tcPr>
            <w:tcW w:w="1338" w:type="dxa"/>
            <w:vMerge/>
            <w:tcBorders>
              <w:top w:val="nil"/>
              <w:left w:val="single" w:sz="7" w:space="0" w:color="000000"/>
              <w:bottom w:val="single" w:sz="8" w:space="0" w:color="000000"/>
              <w:right w:val="single" w:sz="7" w:space="0" w:color="000000"/>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8" w:line="192" w:lineRule="auto"/>
              <w:rPr>
                <w:sz w:val="21"/>
                <w:szCs w:val="22"/>
                <w:lang w:val="en-GB"/>
              </w:rPr>
            </w:pPr>
          </w:p>
        </w:tc>
        <w:tc>
          <w:tcPr>
            <w:tcW w:w="1050" w:type="dxa"/>
            <w:tcBorders>
              <w:top w:val="single" w:sz="7" w:space="0" w:color="000000"/>
              <w:left w:val="single" w:sz="6" w:space="0" w:color="FFFFFF"/>
              <w:bottom w:val="single" w:sz="8" w:space="0" w:color="000000"/>
              <w:right w:val="single" w:sz="7" w:space="0" w:color="000000"/>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80" w:after="28" w:line="192" w:lineRule="auto"/>
              <w:jc w:val="center"/>
              <w:rPr>
                <w:rFonts w:hint="eastAsia"/>
                <w:sz w:val="21"/>
                <w:szCs w:val="22"/>
                <w:lang w:val="en-GB"/>
              </w:rPr>
            </w:pPr>
            <w:r>
              <w:rPr>
                <w:rFonts w:hint="eastAsia"/>
                <w:sz w:val="21"/>
                <w:szCs w:val="22"/>
                <w:lang w:val="en-GB"/>
              </w:rPr>
              <w:t>份</w:t>
            </w:r>
            <w:r>
              <w:rPr>
                <w:rFonts w:hint="eastAsia"/>
                <w:sz w:val="21"/>
                <w:szCs w:val="22"/>
                <w:lang w:val="en-GB"/>
              </w:rPr>
              <w:t xml:space="preserve"> </w:t>
            </w:r>
            <w:r>
              <w:rPr>
                <w:rFonts w:hint="eastAsia"/>
                <w:sz w:val="21"/>
                <w:szCs w:val="22"/>
                <w:lang w:val="en-GB"/>
              </w:rPr>
              <w:t>数</w:t>
            </w:r>
          </w:p>
        </w:tc>
        <w:tc>
          <w:tcPr>
            <w:tcW w:w="1155" w:type="dxa"/>
            <w:tcBorders>
              <w:top w:val="single" w:sz="7" w:space="0" w:color="000000"/>
              <w:left w:val="single" w:sz="6" w:space="0" w:color="FFFFFF"/>
              <w:bottom w:val="single" w:sz="8" w:space="0" w:color="000000"/>
              <w:right w:val="single" w:sz="7" w:space="0" w:color="000000"/>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80" w:after="28" w:line="192" w:lineRule="auto"/>
              <w:jc w:val="center"/>
              <w:rPr>
                <w:sz w:val="21"/>
                <w:szCs w:val="22"/>
                <w:lang w:val="en-GB"/>
              </w:rPr>
            </w:pPr>
            <w:r>
              <w:rPr>
                <w:rFonts w:hint="eastAsia"/>
                <w:sz w:val="21"/>
                <w:szCs w:val="22"/>
                <w:lang w:val="en-GB"/>
              </w:rPr>
              <w:t>百分比</w:t>
            </w:r>
          </w:p>
        </w:tc>
      </w:tr>
      <w:tr w:rsidR="00000000">
        <w:tblPrEx>
          <w:tblCellMar>
            <w:top w:w="0" w:type="dxa"/>
            <w:bottom w:w="0" w:type="dxa"/>
          </w:tblCellMar>
        </w:tblPrEx>
        <w:tc>
          <w:tcPr>
            <w:tcW w:w="1422" w:type="dxa"/>
            <w:tcBorders>
              <w:top w:val="single" w:sz="8" w:space="0" w:color="000000"/>
              <w:left w:val="single" w:sz="8" w:space="0" w:color="000000"/>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1992</w:t>
            </w:r>
          </w:p>
        </w:tc>
        <w:tc>
          <w:tcPr>
            <w:tcW w:w="1833" w:type="dxa"/>
            <w:tcBorders>
              <w:top w:val="single" w:sz="8" w:space="0" w:color="000000"/>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23 080</w:t>
            </w:r>
          </w:p>
        </w:tc>
        <w:tc>
          <w:tcPr>
            <w:tcW w:w="987" w:type="dxa"/>
            <w:tcBorders>
              <w:top w:val="single" w:sz="8" w:space="0" w:color="000000"/>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3,392</w:t>
            </w:r>
          </w:p>
        </w:tc>
        <w:tc>
          <w:tcPr>
            <w:tcW w:w="1140" w:type="dxa"/>
            <w:tcBorders>
              <w:top w:val="single" w:sz="8" w:space="0" w:color="000000"/>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14.7</w:t>
            </w:r>
          </w:p>
        </w:tc>
        <w:tc>
          <w:tcPr>
            <w:tcW w:w="1338" w:type="dxa"/>
            <w:tcBorders>
              <w:top w:val="single" w:sz="8" w:space="0" w:color="000000"/>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24,498</w:t>
            </w:r>
          </w:p>
        </w:tc>
        <w:tc>
          <w:tcPr>
            <w:tcW w:w="1050" w:type="dxa"/>
            <w:tcBorders>
              <w:top w:val="single" w:sz="8" w:space="0" w:color="000000"/>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1,845</w:t>
            </w:r>
          </w:p>
        </w:tc>
        <w:tc>
          <w:tcPr>
            <w:tcW w:w="1155" w:type="dxa"/>
            <w:tcBorders>
              <w:top w:val="single" w:sz="8" w:space="0" w:color="000000"/>
              <w:left w:val="single" w:sz="4" w:space="0" w:color="auto"/>
              <w:bottom w:val="single" w:sz="4" w:space="0" w:color="auto"/>
              <w:right w:val="single" w:sz="8" w:space="0" w:color="000000"/>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ind w:right="340"/>
              <w:jc w:val="right"/>
              <w:rPr>
                <w:sz w:val="21"/>
                <w:szCs w:val="22"/>
                <w:lang w:val="en-GB"/>
              </w:rPr>
            </w:pPr>
            <w:r>
              <w:rPr>
                <w:sz w:val="21"/>
                <w:szCs w:val="22"/>
                <w:lang w:val="en-GB"/>
              </w:rPr>
              <w:t xml:space="preserve"> 7.2</w:t>
            </w:r>
          </w:p>
        </w:tc>
      </w:tr>
      <w:tr w:rsidR="00000000">
        <w:tblPrEx>
          <w:tblCellMar>
            <w:top w:w="0" w:type="dxa"/>
            <w:bottom w:w="0" w:type="dxa"/>
          </w:tblCellMar>
        </w:tblPrEx>
        <w:tc>
          <w:tcPr>
            <w:tcW w:w="1422" w:type="dxa"/>
            <w:tcBorders>
              <w:top w:val="single" w:sz="4" w:space="0" w:color="auto"/>
              <w:left w:val="single" w:sz="8" w:space="0" w:color="000000"/>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1993</w:t>
            </w:r>
          </w:p>
        </w:tc>
        <w:tc>
          <w:tcPr>
            <w:tcW w:w="1833"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23,954</w:t>
            </w:r>
          </w:p>
        </w:tc>
        <w:tc>
          <w:tcPr>
            <w:tcW w:w="987"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1,106</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 xml:space="preserve"> 4.8</w:t>
            </w:r>
          </w:p>
        </w:tc>
        <w:tc>
          <w:tcPr>
            <w:tcW w:w="133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23,867</w:t>
            </w:r>
          </w:p>
        </w:tc>
        <w:tc>
          <w:tcPr>
            <w:tcW w:w="10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2,592</w:t>
            </w:r>
          </w:p>
        </w:tc>
        <w:tc>
          <w:tcPr>
            <w:tcW w:w="1155" w:type="dxa"/>
            <w:tcBorders>
              <w:top w:val="single" w:sz="4" w:space="0" w:color="auto"/>
              <w:left w:val="single" w:sz="4" w:space="0" w:color="auto"/>
              <w:bottom w:val="single" w:sz="4" w:space="0" w:color="auto"/>
              <w:right w:val="single" w:sz="8" w:space="0" w:color="000000"/>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ind w:right="340"/>
              <w:jc w:val="right"/>
              <w:rPr>
                <w:sz w:val="21"/>
                <w:szCs w:val="22"/>
                <w:lang w:val="en-GB"/>
              </w:rPr>
            </w:pPr>
            <w:r>
              <w:rPr>
                <w:sz w:val="21"/>
                <w:szCs w:val="22"/>
                <w:lang w:val="en-GB"/>
              </w:rPr>
              <w:t>10.8</w:t>
            </w:r>
          </w:p>
        </w:tc>
      </w:tr>
      <w:tr w:rsidR="00000000">
        <w:tblPrEx>
          <w:tblCellMar>
            <w:top w:w="0" w:type="dxa"/>
            <w:bottom w:w="0" w:type="dxa"/>
          </w:tblCellMar>
        </w:tblPrEx>
        <w:tc>
          <w:tcPr>
            <w:tcW w:w="1422" w:type="dxa"/>
            <w:tcBorders>
              <w:top w:val="single" w:sz="4" w:space="0" w:color="auto"/>
              <w:left w:val="single" w:sz="8" w:space="0" w:color="000000"/>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1994</w:t>
            </w:r>
          </w:p>
        </w:tc>
        <w:tc>
          <w:tcPr>
            <w:tcW w:w="1833"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25,160</w:t>
            </w:r>
          </w:p>
        </w:tc>
        <w:tc>
          <w:tcPr>
            <w:tcW w:w="987"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1,853</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 xml:space="preserve"> 7.4</w:t>
            </w:r>
          </w:p>
        </w:tc>
        <w:tc>
          <w:tcPr>
            <w:tcW w:w="133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27,435</w:t>
            </w:r>
          </w:p>
        </w:tc>
        <w:tc>
          <w:tcPr>
            <w:tcW w:w="10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2,181</w:t>
            </w:r>
          </w:p>
        </w:tc>
        <w:tc>
          <w:tcPr>
            <w:tcW w:w="1155" w:type="dxa"/>
            <w:tcBorders>
              <w:top w:val="single" w:sz="4" w:space="0" w:color="auto"/>
              <w:left w:val="single" w:sz="4" w:space="0" w:color="auto"/>
              <w:bottom w:val="single" w:sz="4" w:space="0" w:color="auto"/>
              <w:right w:val="single" w:sz="8" w:space="0" w:color="000000"/>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ind w:right="340"/>
              <w:jc w:val="right"/>
              <w:rPr>
                <w:sz w:val="21"/>
                <w:szCs w:val="22"/>
                <w:lang w:val="en-GB"/>
              </w:rPr>
            </w:pPr>
            <w:r>
              <w:rPr>
                <w:sz w:val="21"/>
                <w:szCs w:val="22"/>
                <w:lang w:val="en-GB"/>
              </w:rPr>
              <w:t xml:space="preserve"> 7.9</w:t>
            </w:r>
          </w:p>
        </w:tc>
      </w:tr>
      <w:tr w:rsidR="00000000">
        <w:tblPrEx>
          <w:tblCellMar>
            <w:top w:w="0" w:type="dxa"/>
            <w:bottom w:w="0" w:type="dxa"/>
          </w:tblCellMar>
        </w:tblPrEx>
        <w:tc>
          <w:tcPr>
            <w:tcW w:w="1422" w:type="dxa"/>
            <w:tcBorders>
              <w:top w:val="single" w:sz="4" w:space="0" w:color="auto"/>
              <w:left w:val="single" w:sz="8" w:space="0" w:color="000000"/>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1995</w:t>
            </w:r>
          </w:p>
        </w:tc>
        <w:tc>
          <w:tcPr>
            <w:tcW w:w="1833"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22,312</w:t>
            </w:r>
          </w:p>
        </w:tc>
        <w:tc>
          <w:tcPr>
            <w:tcW w:w="987"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1,177</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 xml:space="preserve"> 5.3</w:t>
            </w:r>
          </w:p>
        </w:tc>
        <w:tc>
          <w:tcPr>
            <w:tcW w:w="133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24,453</w:t>
            </w:r>
          </w:p>
        </w:tc>
        <w:tc>
          <w:tcPr>
            <w:tcW w:w="10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1,680</w:t>
            </w:r>
          </w:p>
        </w:tc>
        <w:tc>
          <w:tcPr>
            <w:tcW w:w="1155" w:type="dxa"/>
            <w:tcBorders>
              <w:top w:val="single" w:sz="4" w:space="0" w:color="auto"/>
              <w:left w:val="single" w:sz="4" w:space="0" w:color="auto"/>
              <w:bottom w:val="single" w:sz="4" w:space="0" w:color="auto"/>
              <w:right w:val="single" w:sz="8" w:space="0" w:color="000000"/>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ind w:right="340"/>
              <w:jc w:val="right"/>
              <w:rPr>
                <w:sz w:val="21"/>
                <w:szCs w:val="22"/>
                <w:lang w:val="en-GB"/>
              </w:rPr>
            </w:pPr>
            <w:r>
              <w:rPr>
                <w:sz w:val="21"/>
                <w:szCs w:val="22"/>
                <w:lang w:val="en-GB"/>
              </w:rPr>
              <w:t xml:space="preserve"> 6.9</w:t>
            </w:r>
          </w:p>
        </w:tc>
      </w:tr>
      <w:tr w:rsidR="00000000">
        <w:tblPrEx>
          <w:tblCellMar>
            <w:top w:w="0" w:type="dxa"/>
            <w:bottom w:w="0" w:type="dxa"/>
          </w:tblCellMar>
        </w:tblPrEx>
        <w:tc>
          <w:tcPr>
            <w:tcW w:w="1422" w:type="dxa"/>
            <w:tcBorders>
              <w:top w:val="single" w:sz="4" w:space="0" w:color="auto"/>
              <w:left w:val="single" w:sz="8" w:space="0" w:color="000000"/>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1996</w:t>
            </w:r>
          </w:p>
        </w:tc>
        <w:tc>
          <w:tcPr>
            <w:tcW w:w="1833"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20,436</w:t>
            </w:r>
          </w:p>
        </w:tc>
        <w:tc>
          <w:tcPr>
            <w:tcW w:w="987"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 xml:space="preserve">  706</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 xml:space="preserve"> 3.5</w:t>
            </w:r>
          </w:p>
        </w:tc>
        <w:tc>
          <w:tcPr>
            <w:tcW w:w="133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21,035</w:t>
            </w:r>
          </w:p>
        </w:tc>
        <w:tc>
          <w:tcPr>
            <w:tcW w:w="10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1,509</w:t>
            </w:r>
          </w:p>
        </w:tc>
        <w:tc>
          <w:tcPr>
            <w:tcW w:w="1155" w:type="dxa"/>
            <w:tcBorders>
              <w:top w:val="single" w:sz="4" w:space="0" w:color="auto"/>
              <w:left w:val="single" w:sz="4" w:space="0" w:color="auto"/>
              <w:bottom w:val="single" w:sz="4" w:space="0" w:color="auto"/>
              <w:right w:val="single" w:sz="8" w:space="0" w:color="000000"/>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ind w:right="340"/>
              <w:jc w:val="right"/>
              <w:rPr>
                <w:sz w:val="21"/>
                <w:szCs w:val="22"/>
                <w:lang w:val="en-GB"/>
              </w:rPr>
            </w:pPr>
            <w:r>
              <w:rPr>
                <w:sz w:val="21"/>
                <w:szCs w:val="22"/>
                <w:lang w:val="en-GB"/>
              </w:rPr>
              <w:t xml:space="preserve"> 7.1</w:t>
            </w:r>
          </w:p>
        </w:tc>
      </w:tr>
      <w:tr w:rsidR="00000000">
        <w:tblPrEx>
          <w:tblCellMar>
            <w:top w:w="0" w:type="dxa"/>
            <w:bottom w:w="0" w:type="dxa"/>
          </w:tblCellMar>
        </w:tblPrEx>
        <w:tc>
          <w:tcPr>
            <w:tcW w:w="1422" w:type="dxa"/>
            <w:tcBorders>
              <w:top w:val="single" w:sz="4" w:space="0" w:color="auto"/>
              <w:left w:val="single" w:sz="8" w:space="0" w:color="000000"/>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1997</w:t>
            </w:r>
          </w:p>
        </w:tc>
        <w:tc>
          <w:tcPr>
            <w:tcW w:w="1833"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22,511</w:t>
            </w:r>
          </w:p>
        </w:tc>
        <w:tc>
          <w:tcPr>
            <w:tcW w:w="987"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1,987</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 xml:space="preserve"> 8.8</w:t>
            </w:r>
          </w:p>
        </w:tc>
        <w:tc>
          <w:tcPr>
            <w:tcW w:w="133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24,007</w:t>
            </w:r>
          </w:p>
        </w:tc>
        <w:tc>
          <w:tcPr>
            <w:tcW w:w="10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jc w:val="center"/>
              <w:rPr>
                <w:sz w:val="21"/>
                <w:szCs w:val="22"/>
                <w:lang w:val="en-GB"/>
              </w:rPr>
            </w:pPr>
            <w:r>
              <w:rPr>
                <w:sz w:val="21"/>
                <w:szCs w:val="22"/>
                <w:lang w:val="en-GB"/>
              </w:rPr>
              <w:t>2,166</w:t>
            </w:r>
          </w:p>
        </w:tc>
        <w:tc>
          <w:tcPr>
            <w:tcW w:w="1155" w:type="dxa"/>
            <w:tcBorders>
              <w:top w:val="single" w:sz="4" w:space="0" w:color="auto"/>
              <w:left w:val="single" w:sz="4" w:space="0" w:color="auto"/>
              <w:bottom w:val="single" w:sz="4" w:space="0" w:color="auto"/>
              <w:right w:val="single" w:sz="8" w:space="0" w:color="000000"/>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28" w:line="192" w:lineRule="auto"/>
              <w:ind w:right="340"/>
              <w:jc w:val="right"/>
              <w:rPr>
                <w:sz w:val="21"/>
                <w:szCs w:val="22"/>
                <w:lang w:val="en-GB"/>
              </w:rPr>
            </w:pPr>
            <w:r>
              <w:rPr>
                <w:sz w:val="21"/>
                <w:szCs w:val="22"/>
                <w:lang w:val="en-GB"/>
              </w:rPr>
              <w:t xml:space="preserve"> 9.0</w:t>
            </w:r>
          </w:p>
        </w:tc>
      </w:tr>
      <w:tr w:rsidR="00000000">
        <w:tblPrEx>
          <w:tblCellMar>
            <w:top w:w="0" w:type="dxa"/>
            <w:bottom w:w="0" w:type="dxa"/>
          </w:tblCellMar>
        </w:tblPrEx>
        <w:tc>
          <w:tcPr>
            <w:tcW w:w="1422" w:type="dxa"/>
            <w:tcBorders>
              <w:top w:val="single" w:sz="4" w:space="0" w:color="auto"/>
              <w:left w:val="single" w:sz="8" w:space="0" w:color="000000"/>
              <w:bottom w:val="single" w:sz="8" w:space="0" w:color="000000"/>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48" w:line="192" w:lineRule="auto"/>
              <w:jc w:val="center"/>
              <w:rPr>
                <w:sz w:val="21"/>
                <w:szCs w:val="22"/>
                <w:lang w:val="en-GB"/>
              </w:rPr>
            </w:pPr>
            <w:r>
              <w:rPr>
                <w:sz w:val="21"/>
                <w:szCs w:val="22"/>
                <w:lang w:val="en-GB"/>
              </w:rPr>
              <w:t>1998</w:t>
            </w:r>
          </w:p>
        </w:tc>
        <w:tc>
          <w:tcPr>
            <w:tcW w:w="1833" w:type="dxa"/>
            <w:tcBorders>
              <w:top w:val="single" w:sz="4" w:space="0" w:color="auto"/>
              <w:left w:val="single" w:sz="4" w:space="0" w:color="auto"/>
              <w:bottom w:val="single" w:sz="8" w:space="0" w:color="000000"/>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48" w:line="192" w:lineRule="auto"/>
              <w:jc w:val="center"/>
              <w:rPr>
                <w:sz w:val="21"/>
                <w:szCs w:val="22"/>
                <w:lang w:val="en-GB"/>
              </w:rPr>
            </w:pPr>
            <w:r>
              <w:rPr>
                <w:sz w:val="21"/>
                <w:szCs w:val="22"/>
                <w:lang w:val="en-GB"/>
              </w:rPr>
              <w:t>25,054</w:t>
            </w:r>
          </w:p>
        </w:tc>
        <w:tc>
          <w:tcPr>
            <w:tcW w:w="987" w:type="dxa"/>
            <w:tcBorders>
              <w:top w:val="single" w:sz="4" w:space="0" w:color="auto"/>
              <w:left w:val="single" w:sz="4" w:space="0" w:color="auto"/>
              <w:bottom w:val="single" w:sz="8" w:space="0" w:color="000000"/>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48" w:line="192" w:lineRule="auto"/>
              <w:jc w:val="center"/>
              <w:rPr>
                <w:sz w:val="21"/>
                <w:szCs w:val="22"/>
                <w:lang w:val="en-GB"/>
              </w:rPr>
            </w:pPr>
            <w:r>
              <w:rPr>
                <w:sz w:val="21"/>
                <w:szCs w:val="22"/>
                <w:lang w:val="en-GB"/>
              </w:rPr>
              <w:t>1,555</w:t>
            </w:r>
          </w:p>
        </w:tc>
        <w:tc>
          <w:tcPr>
            <w:tcW w:w="1140" w:type="dxa"/>
            <w:tcBorders>
              <w:top w:val="single" w:sz="4" w:space="0" w:color="auto"/>
              <w:left w:val="single" w:sz="4" w:space="0" w:color="auto"/>
              <w:bottom w:val="single" w:sz="8" w:space="0" w:color="000000"/>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48" w:line="192" w:lineRule="auto"/>
              <w:jc w:val="center"/>
              <w:rPr>
                <w:sz w:val="21"/>
                <w:szCs w:val="22"/>
                <w:lang w:val="en-GB"/>
              </w:rPr>
            </w:pPr>
            <w:r>
              <w:rPr>
                <w:sz w:val="21"/>
                <w:szCs w:val="22"/>
                <w:lang w:val="en-GB"/>
              </w:rPr>
              <w:t xml:space="preserve"> 6.2</w:t>
            </w:r>
          </w:p>
        </w:tc>
        <w:tc>
          <w:tcPr>
            <w:tcW w:w="1338" w:type="dxa"/>
            <w:tcBorders>
              <w:top w:val="single" w:sz="4" w:space="0" w:color="auto"/>
              <w:left w:val="single" w:sz="4" w:space="0" w:color="auto"/>
              <w:bottom w:val="single" w:sz="8" w:space="0" w:color="000000"/>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48" w:line="192" w:lineRule="auto"/>
              <w:jc w:val="center"/>
              <w:rPr>
                <w:sz w:val="21"/>
                <w:szCs w:val="22"/>
                <w:lang w:val="en-GB"/>
              </w:rPr>
            </w:pPr>
            <w:r>
              <w:rPr>
                <w:sz w:val="21"/>
                <w:szCs w:val="22"/>
                <w:lang w:val="en-GB"/>
              </w:rPr>
              <w:t>27,004</w:t>
            </w:r>
          </w:p>
        </w:tc>
        <w:tc>
          <w:tcPr>
            <w:tcW w:w="1050" w:type="dxa"/>
            <w:tcBorders>
              <w:top w:val="single" w:sz="4" w:space="0" w:color="auto"/>
              <w:left w:val="single" w:sz="4" w:space="0" w:color="auto"/>
              <w:bottom w:val="single" w:sz="8" w:space="0" w:color="000000"/>
              <w:right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48" w:line="192" w:lineRule="auto"/>
              <w:jc w:val="center"/>
              <w:rPr>
                <w:sz w:val="21"/>
                <w:szCs w:val="22"/>
                <w:lang w:val="en-GB"/>
              </w:rPr>
            </w:pPr>
            <w:r>
              <w:rPr>
                <w:sz w:val="21"/>
                <w:szCs w:val="22"/>
                <w:lang w:val="en-GB"/>
              </w:rPr>
              <w:t>2,572</w:t>
            </w:r>
          </w:p>
        </w:tc>
        <w:tc>
          <w:tcPr>
            <w:tcW w:w="1155" w:type="dxa"/>
            <w:tcBorders>
              <w:top w:val="single" w:sz="4" w:space="0" w:color="auto"/>
              <w:left w:val="single" w:sz="4" w:space="0" w:color="auto"/>
              <w:bottom w:val="single" w:sz="8" w:space="0" w:color="000000"/>
              <w:right w:val="single" w:sz="8" w:space="0" w:color="000000"/>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before="40" w:after="48" w:line="192" w:lineRule="auto"/>
              <w:ind w:right="340"/>
              <w:jc w:val="right"/>
              <w:rPr>
                <w:sz w:val="21"/>
                <w:szCs w:val="22"/>
                <w:lang w:val="en-GB"/>
              </w:rPr>
            </w:pPr>
            <w:r>
              <w:rPr>
                <w:sz w:val="21"/>
                <w:szCs w:val="22"/>
                <w:lang w:val="en-GB"/>
              </w:rPr>
              <w:t xml:space="preserve"> 9.5</w:t>
            </w:r>
          </w:p>
        </w:tc>
      </w:tr>
    </w:tbl>
    <w:p w:rsidR="00000000" w:rsidRDefault="00000000">
      <w:pPr>
        <w:spacing w:after="160" w:line="288" w:lineRule="auto"/>
      </w:pPr>
      <w:r>
        <w:rPr>
          <w:rFonts w:hint="eastAsia"/>
        </w:rPr>
        <w:tab/>
        <w:t xml:space="preserve">343.  </w:t>
      </w:r>
      <w:r>
        <w:rPr>
          <w:rFonts w:hint="eastAsia"/>
        </w:rPr>
        <w:t>表</w:t>
      </w:r>
      <w:r>
        <w:rPr>
          <w:rFonts w:hint="eastAsia"/>
        </w:rPr>
        <w:t>3</w:t>
      </w:r>
      <w:r>
        <w:rPr>
          <w:rFonts w:hint="eastAsia"/>
        </w:rPr>
        <w:t>显示了</w:t>
      </w:r>
      <w:r>
        <w:rPr>
          <w:rFonts w:hint="eastAsia"/>
        </w:rPr>
        <w:t>1998</w:t>
      </w:r>
      <w:r>
        <w:rPr>
          <w:rFonts w:hint="eastAsia"/>
        </w:rPr>
        <w:t>年对各县公共供水系统提供的饮用水的卫生程度的化验结果。</w:t>
      </w:r>
    </w:p>
    <w:p w:rsidR="00000000" w:rsidRDefault="00000000">
      <w:pPr>
        <w:pStyle w:val="Heading3"/>
        <w:spacing w:after="100" w:afterAutospacing="1" w:line="240" w:lineRule="exact"/>
        <w:rPr>
          <w:rFonts w:hint="eastAsia"/>
        </w:rPr>
      </w:pPr>
      <w:r>
        <w:rPr>
          <w:rFonts w:hint="eastAsia"/>
        </w:rPr>
        <w:t>表</w:t>
      </w:r>
      <w:r>
        <w:rPr>
          <w:rFonts w:hint="eastAsia"/>
        </w:rPr>
        <w:t>3.  1998</w:t>
      </w:r>
      <w:r>
        <w:rPr>
          <w:rFonts w:hint="eastAsia"/>
        </w:rPr>
        <w:t>年克罗地亚各县饮用水安全情况测试结果</w:t>
      </w:r>
    </w:p>
    <w:tbl>
      <w:tblPr>
        <w:tblW w:w="9240" w:type="dxa"/>
        <w:tblInd w:w="249" w:type="dxa"/>
        <w:tblLayout w:type="fixed"/>
        <w:tblCellMar>
          <w:left w:w="39" w:type="dxa"/>
          <w:right w:w="39" w:type="dxa"/>
        </w:tblCellMar>
        <w:tblLook w:val="0000" w:firstRow="0" w:lastRow="0" w:firstColumn="0" w:lastColumn="0" w:noHBand="0" w:noVBand="0"/>
      </w:tblPr>
      <w:tblGrid>
        <w:gridCol w:w="3045"/>
        <w:gridCol w:w="1155"/>
        <w:gridCol w:w="945"/>
        <w:gridCol w:w="1050"/>
        <w:gridCol w:w="945"/>
        <w:gridCol w:w="1050"/>
        <w:gridCol w:w="1050"/>
      </w:tblGrid>
      <w:tr w:rsidR="00000000">
        <w:tblPrEx>
          <w:tblCellMar>
            <w:top w:w="0" w:type="dxa"/>
            <w:bottom w:w="0" w:type="dxa"/>
          </w:tblCellMar>
        </w:tblPrEx>
        <w:trPr>
          <w:cantSplit/>
          <w:tblHeader/>
        </w:trPr>
        <w:tc>
          <w:tcPr>
            <w:tcW w:w="3045" w:type="dxa"/>
            <w:vMerge w:val="restart"/>
            <w:tcBorders>
              <w:top w:val="single" w:sz="7" w:space="0" w:color="000000"/>
              <w:left w:val="single" w:sz="7" w:space="0" w:color="000000"/>
              <w:bottom w:val="nil"/>
              <w:right w:val="single" w:sz="7" w:space="0" w:color="000000"/>
            </w:tcBorders>
          </w:tcPr>
          <w:p w:rsidR="00000000" w:rsidRDefault="00000000">
            <w:pPr>
              <w:tabs>
                <w:tab w:val="left" w:pos="187"/>
                <w:tab w:val="left" w:pos="351"/>
              </w:tabs>
              <w:spacing w:before="240" w:after="42" w:line="240" w:lineRule="exact"/>
              <w:jc w:val="center"/>
              <w:rPr>
                <w:rFonts w:hint="eastAsia"/>
                <w:sz w:val="21"/>
                <w:szCs w:val="21"/>
                <w:lang w:val="en-GB"/>
              </w:rPr>
            </w:pPr>
            <w:r>
              <w:rPr>
                <w:rFonts w:hint="eastAsia"/>
                <w:sz w:val="21"/>
                <w:szCs w:val="21"/>
                <w:lang w:val="en-GB"/>
              </w:rPr>
              <w:t>县</w:t>
            </w:r>
            <w:r>
              <w:rPr>
                <w:rFonts w:hint="eastAsia"/>
                <w:sz w:val="21"/>
                <w:szCs w:val="21"/>
                <w:lang w:val="en-GB"/>
              </w:rPr>
              <w:t xml:space="preserve">  </w:t>
            </w:r>
            <w:r>
              <w:rPr>
                <w:rFonts w:hint="eastAsia"/>
                <w:sz w:val="21"/>
                <w:szCs w:val="21"/>
                <w:lang w:val="en-GB"/>
              </w:rPr>
              <w:t>名</w:t>
            </w:r>
          </w:p>
        </w:tc>
        <w:tc>
          <w:tcPr>
            <w:tcW w:w="3150" w:type="dxa"/>
            <w:gridSpan w:val="3"/>
            <w:tcBorders>
              <w:top w:val="single" w:sz="7" w:space="0" w:color="000000"/>
              <w:left w:val="single" w:sz="6" w:space="0" w:color="FFFFFF"/>
              <w:bottom w:val="single" w:sz="7" w:space="0" w:color="000000"/>
              <w:right w:val="single" w:sz="4" w:space="0" w:color="auto"/>
            </w:tcBorders>
          </w:tcPr>
          <w:p w:rsidR="00000000" w:rsidRDefault="00000000">
            <w:pPr>
              <w:tabs>
                <w:tab w:val="left" w:pos="187"/>
                <w:tab w:val="left" w:pos="351"/>
              </w:tabs>
              <w:spacing w:after="42" w:line="240" w:lineRule="exact"/>
              <w:jc w:val="center"/>
              <w:rPr>
                <w:rFonts w:hint="eastAsia"/>
                <w:sz w:val="21"/>
                <w:szCs w:val="21"/>
                <w:lang w:val="en-GB"/>
              </w:rPr>
            </w:pPr>
            <w:r>
              <w:rPr>
                <w:rFonts w:hint="eastAsia"/>
                <w:sz w:val="21"/>
                <w:szCs w:val="21"/>
                <w:lang w:val="en-GB"/>
              </w:rPr>
              <w:t>化学万分</w:t>
            </w:r>
          </w:p>
        </w:tc>
        <w:tc>
          <w:tcPr>
            <w:tcW w:w="3045" w:type="dxa"/>
            <w:gridSpan w:val="3"/>
            <w:tcBorders>
              <w:top w:val="single" w:sz="8" w:space="0" w:color="000000"/>
              <w:left w:val="single" w:sz="4" w:space="0" w:color="auto"/>
              <w:bottom w:val="single" w:sz="8" w:space="0" w:color="000000"/>
              <w:right w:val="single" w:sz="4" w:space="0" w:color="auto"/>
            </w:tcBorders>
          </w:tcPr>
          <w:p w:rsidR="00000000" w:rsidRDefault="00000000">
            <w:pPr>
              <w:tabs>
                <w:tab w:val="left" w:pos="187"/>
                <w:tab w:val="left" w:pos="351"/>
              </w:tabs>
              <w:spacing w:after="42" w:line="240" w:lineRule="exact"/>
              <w:jc w:val="center"/>
              <w:rPr>
                <w:rFonts w:hint="eastAsia"/>
                <w:sz w:val="21"/>
                <w:szCs w:val="21"/>
                <w:lang w:val="en-GB"/>
              </w:rPr>
            </w:pPr>
            <w:r>
              <w:rPr>
                <w:rFonts w:hint="eastAsia"/>
                <w:sz w:val="21"/>
                <w:szCs w:val="21"/>
                <w:lang w:val="en-GB"/>
              </w:rPr>
              <w:t>微</w:t>
            </w:r>
            <w:r>
              <w:rPr>
                <w:rFonts w:hint="eastAsia"/>
                <w:sz w:val="21"/>
                <w:szCs w:val="21"/>
                <w:lang w:val="en-GB"/>
              </w:rPr>
              <w:t xml:space="preserve"> </w:t>
            </w:r>
            <w:r>
              <w:rPr>
                <w:rFonts w:hint="eastAsia"/>
                <w:sz w:val="21"/>
                <w:szCs w:val="21"/>
                <w:lang w:val="en-GB"/>
              </w:rPr>
              <w:t>生</w:t>
            </w:r>
            <w:r>
              <w:rPr>
                <w:rFonts w:hint="eastAsia"/>
                <w:sz w:val="21"/>
                <w:szCs w:val="21"/>
                <w:lang w:val="en-GB"/>
              </w:rPr>
              <w:t xml:space="preserve"> </w:t>
            </w:r>
            <w:r>
              <w:rPr>
                <w:rFonts w:hint="eastAsia"/>
                <w:sz w:val="21"/>
                <w:szCs w:val="21"/>
                <w:lang w:val="en-GB"/>
              </w:rPr>
              <w:t>物</w:t>
            </w:r>
          </w:p>
        </w:tc>
      </w:tr>
      <w:tr w:rsidR="00000000">
        <w:tblPrEx>
          <w:tblCellMar>
            <w:top w:w="0" w:type="dxa"/>
            <w:bottom w:w="0" w:type="dxa"/>
          </w:tblCellMar>
        </w:tblPrEx>
        <w:trPr>
          <w:cantSplit/>
          <w:tblHeader/>
        </w:trPr>
        <w:tc>
          <w:tcPr>
            <w:tcW w:w="3045" w:type="dxa"/>
            <w:vMerge/>
            <w:tcBorders>
              <w:top w:val="nil"/>
              <w:left w:val="single" w:sz="7" w:space="0" w:color="000000"/>
              <w:bottom w:val="single" w:sz="6" w:space="0" w:color="FFFFFF"/>
              <w:right w:val="single" w:sz="7" w:space="0" w:color="000000"/>
            </w:tcBorders>
          </w:tcPr>
          <w:p w:rsidR="00000000" w:rsidRDefault="00000000">
            <w:pPr>
              <w:tabs>
                <w:tab w:val="left" w:pos="187"/>
                <w:tab w:val="left" w:pos="351"/>
              </w:tabs>
              <w:spacing w:after="22" w:line="240" w:lineRule="exact"/>
              <w:rPr>
                <w:sz w:val="21"/>
                <w:szCs w:val="21"/>
                <w:lang w:val="en-GB"/>
              </w:rPr>
            </w:pP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rFonts w:hint="eastAsia"/>
                <w:sz w:val="21"/>
                <w:szCs w:val="21"/>
                <w:lang w:val="en-GB"/>
              </w:rPr>
            </w:pPr>
            <w:r>
              <w:rPr>
                <w:rFonts w:hint="eastAsia"/>
                <w:sz w:val="21"/>
                <w:szCs w:val="21"/>
                <w:lang w:val="en-GB"/>
              </w:rPr>
              <w:t>取样数</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rFonts w:hint="eastAsia"/>
                <w:sz w:val="21"/>
                <w:szCs w:val="21"/>
                <w:lang w:val="en-GB"/>
              </w:rPr>
            </w:pPr>
            <w:r>
              <w:rPr>
                <w:rFonts w:hint="eastAsia"/>
                <w:sz w:val="21"/>
                <w:szCs w:val="21"/>
                <w:lang w:val="en-GB"/>
              </w:rPr>
              <w:t>不安全</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rFonts w:hint="eastAsia"/>
                <w:sz w:val="21"/>
                <w:szCs w:val="21"/>
                <w:lang w:val="en-GB"/>
              </w:rPr>
            </w:pPr>
            <w:r>
              <w:rPr>
                <w:rFonts w:hint="eastAsia"/>
                <w:sz w:val="21"/>
                <w:szCs w:val="21"/>
                <w:lang w:val="en-GB"/>
              </w:rPr>
              <w:t>百分比</w:t>
            </w:r>
          </w:p>
        </w:tc>
        <w:tc>
          <w:tcPr>
            <w:tcW w:w="945" w:type="dxa"/>
            <w:tcBorders>
              <w:top w:val="single" w:sz="8" w:space="0" w:color="000000"/>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rFonts w:hint="eastAsia"/>
                <w:sz w:val="21"/>
                <w:szCs w:val="21"/>
                <w:lang w:val="en-GB"/>
              </w:rPr>
            </w:pPr>
            <w:r>
              <w:rPr>
                <w:rFonts w:hint="eastAsia"/>
                <w:sz w:val="21"/>
                <w:szCs w:val="21"/>
                <w:lang w:val="en-GB"/>
              </w:rPr>
              <w:t>取样数</w:t>
            </w:r>
          </w:p>
        </w:tc>
        <w:tc>
          <w:tcPr>
            <w:tcW w:w="1050" w:type="dxa"/>
            <w:tcBorders>
              <w:top w:val="single" w:sz="8" w:space="0" w:color="000000"/>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rFonts w:hint="eastAsia"/>
                <w:sz w:val="21"/>
                <w:szCs w:val="21"/>
                <w:lang w:val="en-GB"/>
              </w:rPr>
            </w:pPr>
            <w:r>
              <w:rPr>
                <w:rFonts w:hint="eastAsia"/>
                <w:sz w:val="21"/>
                <w:szCs w:val="21"/>
                <w:lang w:val="en-GB"/>
              </w:rPr>
              <w:t>不安全</w:t>
            </w:r>
          </w:p>
        </w:tc>
        <w:tc>
          <w:tcPr>
            <w:tcW w:w="1050" w:type="dxa"/>
            <w:tcBorders>
              <w:top w:val="single" w:sz="8" w:space="0" w:color="000000"/>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rFonts w:hint="eastAsia"/>
                <w:sz w:val="21"/>
                <w:szCs w:val="21"/>
                <w:lang w:val="en-GB"/>
              </w:rPr>
            </w:pPr>
            <w:r>
              <w:rPr>
                <w:rFonts w:hint="eastAsia"/>
                <w:sz w:val="21"/>
                <w:szCs w:val="21"/>
                <w:lang w:val="en-GB"/>
              </w:rPr>
              <w:t>百分比</w:t>
            </w:r>
          </w:p>
        </w:tc>
      </w:tr>
      <w:tr w:rsidR="00000000">
        <w:tblPrEx>
          <w:tblCellMar>
            <w:top w:w="0" w:type="dxa"/>
            <w:bottom w:w="0" w:type="dxa"/>
          </w:tblCellMar>
        </w:tblPrEx>
        <w:tc>
          <w:tcPr>
            <w:tcW w:w="3045" w:type="dxa"/>
            <w:tcBorders>
              <w:top w:val="single" w:sz="7" w:space="0" w:color="000000"/>
              <w:left w:val="single" w:sz="7" w:space="0" w:color="000000"/>
              <w:bottom w:val="single" w:sz="6" w:space="0" w:color="FFFFFF"/>
              <w:right w:val="single" w:sz="7" w:space="0" w:color="000000"/>
            </w:tcBorders>
          </w:tcPr>
          <w:p w:rsidR="00000000" w:rsidRDefault="00000000">
            <w:pPr>
              <w:tabs>
                <w:tab w:val="left" w:pos="187"/>
                <w:tab w:val="left" w:pos="351"/>
              </w:tabs>
              <w:spacing w:after="22" w:line="240" w:lineRule="exact"/>
              <w:ind w:firstLine="187"/>
              <w:rPr>
                <w:sz w:val="21"/>
                <w:szCs w:val="21"/>
                <w:lang w:val="en-GB"/>
              </w:rPr>
            </w:pPr>
            <w:r>
              <w:rPr>
                <w:sz w:val="21"/>
                <w:szCs w:val="21"/>
                <w:lang w:val="en-GB"/>
              </w:rPr>
              <w:t>1 Bjelovarska-bilogorska</w:t>
            </w:r>
          </w:p>
        </w:tc>
        <w:tc>
          <w:tcPr>
            <w:tcW w:w="1155" w:type="dxa"/>
            <w:tcBorders>
              <w:top w:val="single" w:sz="7" w:space="0" w:color="000000"/>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1,005</w:t>
            </w:r>
          </w:p>
        </w:tc>
        <w:tc>
          <w:tcPr>
            <w:tcW w:w="945" w:type="dxa"/>
            <w:tcBorders>
              <w:top w:val="single" w:sz="7" w:space="0" w:color="000000"/>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192</w:t>
            </w:r>
          </w:p>
        </w:tc>
        <w:tc>
          <w:tcPr>
            <w:tcW w:w="1050" w:type="dxa"/>
            <w:tcBorders>
              <w:top w:val="single" w:sz="7" w:space="0" w:color="000000"/>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19.1</w:t>
            </w:r>
          </w:p>
        </w:tc>
        <w:tc>
          <w:tcPr>
            <w:tcW w:w="945" w:type="dxa"/>
            <w:tcBorders>
              <w:top w:val="single" w:sz="7" w:space="0" w:color="000000"/>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686</w:t>
            </w:r>
          </w:p>
        </w:tc>
        <w:tc>
          <w:tcPr>
            <w:tcW w:w="1050" w:type="dxa"/>
            <w:tcBorders>
              <w:top w:val="single" w:sz="7" w:space="0" w:color="000000"/>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103</w:t>
            </w:r>
          </w:p>
        </w:tc>
        <w:tc>
          <w:tcPr>
            <w:tcW w:w="1050" w:type="dxa"/>
            <w:tcBorders>
              <w:top w:val="single" w:sz="7" w:space="0" w:color="000000"/>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15.4</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351"/>
              </w:tabs>
              <w:spacing w:after="22" w:line="240" w:lineRule="exact"/>
              <w:ind w:firstLine="187"/>
              <w:rPr>
                <w:sz w:val="21"/>
                <w:szCs w:val="21"/>
                <w:lang w:val="en-GB"/>
              </w:rPr>
            </w:pPr>
            <w:r>
              <w:rPr>
                <w:sz w:val="21"/>
                <w:szCs w:val="21"/>
                <w:lang w:val="en-GB"/>
              </w:rPr>
              <w:t>2 Brodsko-posavska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265</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131</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49.4</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425</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59</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13.9</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351"/>
              </w:tabs>
              <w:spacing w:after="22" w:line="240" w:lineRule="exact"/>
              <w:ind w:firstLine="187"/>
              <w:rPr>
                <w:sz w:val="21"/>
                <w:szCs w:val="21"/>
                <w:lang w:val="en-GB"/>
              </w:rPr>
            </w:pPr>
            <w:r>
              <w:rPr>
                <w:sz w:val="21"/>
                <w:szCs w:val="21"/>
                <w:lang w:val="en-GB"/>
              </w:rPr>
              <w:t>3 Koprivničko-križevačka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1,232</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23</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1.9</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1,257</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20</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1.6</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253"/>
                <w:tab w:val="left" w:pos="351"/>
              </w:tabs>
              <w:spacing w:after="22" w:line="240" w:lineRule="exact"/>
              <w:ind w:firstLine="187"/>
              <w:rPr>
                <w:sz w:val="21"/>
                <w:szCs w:val="21"/>
                <w:lang w:val="en-GB"/>
              </w:rPr>
            </w:pPr>
            <w:r>
              <w:rPr>
                <w:sz w:val="21"/>
                <w:szCs w:val="21"/>
                <w:lang w:val="en-GB"/>
              </w:rPr>
              <w:t>4</w:t>
            </w:r>
            <w:r>
              <w:rPr>
                <w:sz w:val="21"/>
                <w:szCs w:val="21"/>
                <w:lang w:val="en-GB"/>
              </w:rPr>
              <w:tab/>
              <w:t xml:space="preserve"> Vukovarsko-srijemska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630</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183</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29.0</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1,506</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83</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5.5</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253"/>
                <w:tab w:val="left" w:pos="351"/>
              </w:tabs>
              <w:spacing w:after="22" w:line="240" w:lineRule="exact"/>
              <w:ind w:firstLine="187"/>
              <w:rPr>
                <w:sz w:val="21"/>
                <w:szCs w:val="21"/>
                <w:lang w:val="en-GB"/>
              </w:rPr>
            </w:pPr>
            <w:r>
              <w:rPr>
                <w:sz w:val="21"/>
                <w:szCs w:val="21"/>
                <w:lang w:val="en-GB"/>
              </w:rPr>
              <w:t>5</w:t>
            </w:r>
            <w:r>
              <w:rPr>
                <w:sz w:val="21"/>
                <w:szCs w:val="21"/>
                <w:lang w:val="en-GB"/>
              </w:rPr>
              <w:tab/>
              <w:t xml:space="preserve"> Požeško-slavonska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243</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4</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1.6</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457</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112</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24.5</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253"/>
                <w:tab w:val="left" w:pos="351"/>
              </w:tabs>
              <w:spacing w:after="22" w:line="240" w:lineRule="exact"/>
              <w:ind w:firstLine="187"/>
              <w:rPr>
                <w:sz w:val="21"/>
                <w:szCs w:val="21"/>
                <w:lang w:val="en-GB"/>
              </w:rPr>
            </w:pPr>
            <w:r>
              <w:rPr>
                <w:sz w:val="21"/>
                <w:szCs w:val="21"/>
                <w:lang w:val="en-GB"/>
              </w:rPr>
              <w:t>6</w:t>
            </w:r>
            <w:r>
              <w:rPr>
                <w:sz w:val="21"/>
                <w:szCs w:val="21"/>
                <w:lang w:val="en-GB"/>
              </w:rPr>
              <w:tab/>
              <w:t xml:space="preserve"> Sisaksko-moslavačka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1,344</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41</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3.1</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1,357</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83</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6.1</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253"/>
                <w:tab w:val="left" w:pos="351"/>
              </w:tabs>
              <w:spacing w:after="22" w:line="240" w:lineRule="exact"/>
              <w:ind w:firstLine="187"/>
              <w:rPr>
                <w:sz w:val="21"/>
                <w:szCs w:val="21"/>
                <w:lang w:val="en-GB"/>
              </w:rPr>
            </w:pPr>
            <w:r>
              <w:rPr>
                <w:sz w:val="21"/>
                <w:szCs w:val="21"/>
                <w:lang w:val="en-GB"/>
              </w:rPr>
              <w:t>7</w:t>
            </w:r>
            <w:r>
              <w:rPr>
                <w:sz w:val="21"/>
                <w:szCs w:val="21"/>
                <w:lang w:val="en-GB"/>
              </w:rPr>
              <w:tab/>
              <w:t xml:space="preserve"> Virovitičko-podravska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441</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40</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9.1</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471</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50</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10.6</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253"/>
                <w:tab w:val="left" w:pos="351"/>
              </w:tabs>
              <w:spacing w:after="22" w:line="240" w:lineRule="exact"/>
              <w:ind w:firstLine="187"/>
              <w:rPr>
                <w:sz w:val="21"/>
                <w:szCs w:val="21"/>
                <w:lang w:val="en-GB"/>
              </w:rPr>
            </w:pPr>
            <w:r>
              <w:rPr>
                <w:sz w:val="21"/>
                <w:szCs w:val="21"/>
                <w:lang w:val="en-GB"/>
              </w:rPr>
              <w:t>8</w:t>
            </w:r>
            <w:r>
              <w:rPr>
                <w:sz w:val="21"/>
                <w:szCs w:val="21"/>
                <w:lang w:val="en-GB"/>
              </w:rPr>
              <w:tab/>
              <w:t xml:space="preserve"> Osjeksko-baranjska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1,980</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73</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3.7</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1,844</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246</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13.3</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253"/>
                <w:tab w:val="left" w:pos="351"/>
              </w:tabs>
              <w:spacing w:after="22" w:line="240" w:lineRule="exact"/>
              <w:ind w:firstLine="187"/>
              <w:rPr>
                <w:sz w:val="21"/>
                <w:szCs w:val="21"/>
                <w:lang w:val="en-GB"/>
              </w:rPr>
            </w:pPr>
            <w:r>
              <w:rPr>
                <w:sz w:val="21"/>
                <w:szCs w:val="21"/>
                <w:lang w:val="en-GB"/>
              </w:rPr>
              <w:t>9</w:t>
            </w:r>
            <w:r>
              <w:rPr>
                <w:sz w:val="21"/>
                <w:szCs w:val="21"/>
                <w:lang w:val="en-GB"/>
              </w:rPr>
              <w:tab/>
              <w:t xml:space="preserve"> Zadarska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942</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22</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2.3</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914</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191</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20.9</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312"/>
                <w:tab w:val="left" w:pos="351"/>
              </w:tabs>
              <w:spacing w:after="22" w:line="240" w:lineRule="exact"/>
              <w:rPr>
                <w:sz w:val="21"/>
                <w:szCs w:val="21"/>
                <w:lang w:val="en-GB"/>
              </w:rPr>
            </w:pPr>
            <w:r>
              <w:rPr>
                <w:sz w:val="21"/>
                <w:szCs w:val="21"/>
                <w:lang w:val="en-GB"/>
              </w:rPr>
              <w:t>10</w:t>
            </w:r>
            <w:r>
              <w:rPr>
                <w:sz w:val="21"/>
                <w:szCs w:val="21"/>
                <w:lang w:val="en-GB"/>
              </w:rPr>
              <w:tab/>
              <w:t>Ličko-senjska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528</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23</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4.3</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528</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99</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18.7</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312"/>
                <w:tab w:val="left" w:pos="351"/>
              </w:tabs>
              <w:spacing w:after="22" w:line="240" w:lineRule="exact"/>
              <w:rPr>
                <w:sz w:val="21"/>
                <w:szCs w:val="21"/>
                <w:lang w:val="en-GB"/>
              </w:rPr>
            </w:pPr>
            <w:r>
              <w:rPr>
                <w:sz w:val="21"/>
                <w:szCs w:val="21"/>
                <w:lang w:val="en-GB"/>
              </w:rPr>
              <w:t>11</w:t>
            </w:r>
            <w:r>
              <w:rPr>
                <w:sz w:val="21"/>
                <w:szCs w:val="21"/>
                <w:lang w:val="en-GB"/>
              </w:rPr>
              <w:tab/>
              <w:t>Krapinsko-zagorska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688</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25</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3.6</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691</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107</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15.5</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312"/>
                <w:tab w:val="left" w:pos="351"/>
              </w:tabs>
              <w:spacing w:after="22" w:line="240" w:lineRule="exact"/>
              <w:rPr>
                <w:sz w:val="21"/>
                <w:szCs w:val="21"/>
                <w:lang w:val="en-GB"/>
              </w:rPr>
            </w:pPr>
            <w:r>
              <w:rPr>
                <w:sz w:val="21"/>
                <w:szCs w:val="21"/>
                <w:lang w:val="en-GB"/>
              </w:rPr>
              <w:t>12</w:t>
            </w:r>
            <w:r>
              <w:rPr>
                <w:sz w:val="21"/>
                <w:szCs w:val="21"/>
                <w:lang w:val="en-GB"/>
              </w:rPr>
              <w:tab/>
              <w:t>Karlovačka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1,968</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13</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0.7</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2,049</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281</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13.7</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312"/>
                <w:tab w:val="left" w:pos="351"/>
              </w:tabs>
              <w:spacing w:after="22" w:line="240" w:lineRule="exact"/>
              <w:rPr>
                <w:sz w:val="21"/>
                <w:szCs w:val="21"/>
                <w:lang w:val="en-GB"/>
              </w:rPr>
            </w:pPr>
            <w:r>
              <w:rPr>
                <w:sz w:val="21"/>
                <w:szCs w:val="21"/>
                <w:lang w:val="en-GB"/>
              </w:rPr>
              <w:t>13</w:t>
            </w:r>
            <w:r>
              <w:rPr>
                <w:sz w:val="21"/>
                <w:szCs w:val="21"/>
                <w:lang w:val="en-GB"/>
              </w:rPr>
              <w:tab/>
              <w:t>Varaždinska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306</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158</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51.6</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431</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7</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1.6</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312"/>
                <w:tab w:val="left" w:pos="351"/>
              </w:tabs>
              <w:spacing w:after="22" w:line="240" w:lineRule="exact"/>
              <w:rPr>
                <w:sz w:val="21"/>
                <w:szCs w:val="21"/>
                <w:lang w:val="en-GB"/>
              </w:rPr>
            </w:pPr>
            <w:r>
              <w:rPr>
                <w:sz w:val="21"/>
                <w:szCs w:val="21"/>
                <w:lang w:val="en-GB"/>
              </w:rPr>
              <w:t>14</w:t>
            </w:r>
            <w:r>
              <w:rPr>
                <w:sz w:val="21"/>
                <w:szCs w:val="21"/>
                <w:lang w:val="en-GB"/>
              </w:rPr>
              <w:tab/>
              <w:t>Meðimurska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576</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0.2</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576</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27</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4.7</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312"/>
                <w:tab w:val="left" w:pos="351"/>
              </w:tabs>
              <w:spacing w:after="22" w:line="240" w:lineRule="exact"/>
              <w:rPr>
                <w:sz w:val="21"/>
                <w:szCs w:val="21"/>
                <w:lang w:val="en-GB"/>
              </w:rPr>
            </w:pPr>
            <w:r>
              <w:rPr>
                <w:sz w:val="21"/>
                <w:szCs w:val="21"/>
                <w:lang w:val="en-GB"/>
              </w:rPr>
              <w:t>15</w:t>
            </w:r>
            <w:r>
              <w:rPr>
                <w:sz w:val="21"/>
                <w:szCs w:val="21"/>
                <w:lang w:val="en-GB"/>
              </w:rPr>
              <w:tab/>
              <w:t>Istarska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621</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77</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12.4</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603</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93</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15.4</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312"/>
                <w:tab w:val="left" w:pos="351"/>
              </w:tabs>
              <w:spacing w:after="22" w:line="240" w:lineRule="exact"/>
              <w:jc w:val="left"/>
              <w:rPr>
                <w:sz w:val="21"/>
                <w:szCs w:val="21"/>
                <w:lang w:val="en-GB"/>
              </w:rPr>
            </w:pPr>
            <w:r>
              <w:rPr>
                <w:sz w:val="21"/>
                <w:szCs w:val="21"/>
                <w:lang w:val="en-GB"/>
              </w:rPr>
              <w:t>16</w:t>
            </w:r>
            <w:r>
              <w:rPr>
                <w:sz w:val="21"/>
                <w:szCs w:val="21"/>
                <w:lang w:val="en-GB"/>
              </w:rPr>
              <w:tab/>
              <w:t>Zagrebačka + city of Zagreb</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3,181</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200</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6.3</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3,182</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178</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5.6</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312"/>
                <w:tab w:val="left" w:pos="351"/>
              </w:tabs>
              <w:spacing w:after="22" w:line="240" w:lineRule="exact"/>
              <w:rPr>
                <w:sz w:val="21"/>
                <w:szCs w:val="21"/>
                <w:lang w:val="en-GB"/>
              </w:rPr>
            </w:pPr>
            <w:r>
              <w:rPr>
                <w:sz w:val="21"/>
                <w:szCs w:val="21"/>
                <w:lang w:val="en-GB"/>
              </w:rPr>
              <w:t>17</w:t>
            </w:r>
            <w:r>
              <w:rPr>
                <w:sz w:val="21"/>
                <w:szCs w:val="21"/>
                <w:lang w:val="en-GB"/>
              </w:rPr>
              <w:tab/>
              <w:t>Šibensko-kninska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1,011</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6</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0.6</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1,011</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182</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1.6</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312"/>
                <w:tab w:val="left" w:pos="351"/>
              </w:tabs>
              <w:spacing w:after="22" w:line="240" w:lineRule="exact"/>
              <w:rPr>
                <w:sz w:val="21"/>
                <w:szCs w:val="21"/>
                <w:lang w:val="en-GB"/>
              </w:rPr>
            </w:pPr>
            <w:r>
              <w:rPr>
                <w:sz w:val="21"/>
                <w:szCs w:val="21"/>
                <w:lang w:val="en-GB"/>
              </w:rPr>
              <w:t>18</w:t>
            </w:r>
            <w:r>
              <w:rPr>
                <w:sz w:val="21"/>
                <w:szCs w:val="21"/>
                <w:lang w:val="en-GB"/>
              </w:rPr>
              <w:tab/>
              <w:t>Primorsko-goranska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1,664</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155</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9.3</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2,754</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376</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13.6</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312"/>
                <w:tab w:val="left" w:pos="351"/>
              </w:tabs>
              <w:spacing w:after="22" w:line="240" w:lineRule="exact"/>
              <w:rPr>
                <w:sz w:val="21"/>
                <w:szCs w:val="21"/>
                <w:lang w:val="en-GB"/>
              </w:rPr>
            </w:pPr>
            <w:r>
              <w:rPr>
                <w:sz w:val="21"/>
                <w:szCs w:val="21"/>
                <w:lang w:val="en-GB"/>
              </w:rPr>
              <w:t>19</w:t>
            </w:r>
            <w:r>
              <w:rPr>
                <w:sz w:val="21"/>
                <w:szCs w:val="21"/>
                <w:lang w:val="en-GB"/>
              </w:rPr>
              <w:tab/>
              <w:t>Splitsko-dalmatinska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3,779</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12</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0.3</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3,474</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167</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4.8</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312"/>
                <w:tab w:val="left" w:pos="351"/>
              </w:tabs>
              <w:spacing w:after="22" w:line="240" w:lineRule="exact"/>
              <w:rPr>
                <w:sz w:val="21"/>
                <w:szCs w:val="21"/>
                <w:lang w:val="en-GB"/>
              </w:rPr>
            </w:pPr>
            <w:r>
              <w:rPr>
                <w:sz w:val="21"/>
                <w:szCs w:val="21"/>
                <w:lang w:val="en-GB"/>
              </w:rPr>
              <w:t>20</w:t>
            </w:r>
            <w:r>
              <w:rPr>
                <w:sz w:val="21"/>
                <w:szCs w:val="21"/>
                <w:lang w:val="en-GB"/>
              </w:rPr>
              <w:tab/>
              <w:t>Dubrovačko-neretvanska</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879</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103</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11.7</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1,013</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67</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6.6</w:t>
            </w:r>
          </w:p>
        </w:tc>
      </w:tr>
      <w:tr w:rsidR="00000000">
        <w:tblPrEx>
          <w:tblCellMar>
            <w:top w:w="0" w:type="dxa"/>
            <w:bottom w:w="0" w:type="dxa"/>
          </w:tblCellMar>
        </w:tblPrEx>
        <w:tc>
          <w:tcPr>
            <w:tcW w:w="3045" w:type="dxa"/>
            <w:tcBorders>
              <w:top w:val="single" w:sz="6" w:space="0" w:color="FFFFFF"/>
              <w:left w:val="single" w:sz="7" w:space="0" w:color="000000"/>
              <w:bottom w:val="single" w:sz="6" w:space="0" w:color="FFFFFF"/>
              <w:right w:val="single" w:sz="7" w:space="0" w:color="000000"/>
            </w:tcBorders>
          </w:tcPr>
          <w:p w:rsidR="00000000" w:rsidRDefault="00000000">
            <w:pPr>
              <w:tabs>
                <w:tab w:val="left" w:pos="187"/>
                <w:tab w:val="left" w:pos="351"/>
              </w:tabs>
              <w:spacing w:after="22" w:line="240" w:lineRule="exact"/>
              <w:rPr>
                <w:rFonts w:hint="eastAsia"/>
                <w:sz w:val="21"/>
                <w:szCs w:val="21"/>
                <w:lang w:val="en-GB"/>
              </w:rPr>
            </w:pPr>
            <w:r>
              <w:rPr>
                <w:rFonts w:hint="eastAsia"/>
                <w:sz w:val="21"/>
                <w:szCs w:val="21"/>
                <w:lang w:val="en-GB"/>
              </w:rPr>
              <w:t>克罗地亚公共健康研究所</w:t>
            </w:r>
          </w:p>
        </w:tc>
        <w:tc>
          <w:tcPr>
            <w:tcW w:w="115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1,771</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73</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4.1</w:t>
            </w:r>
          </w:p>
        </w:tc>
        <w:tc>
          <w:tcPr>
            <w:tcW w:w="945"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1,773</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41</w:t>
            </w:r>
          </w:p>
        </w:tc>
        <w:tc>
          <w:tcPr>
            <w:tcW w:w="1050" w:type="dxa"/>
            <w:tcBorders>
              <w:top w:val="single" w:sz="6" w:space="0" w:color="FFFFFF"/>
              <w:left w:val="single" w:sz="6" w:space="0" w:color="FFFFFF"/>
              <w:bottom w:val="single" w:sz="6" w:space="0" w:color="FFFFFF"/>
              <w:right w:val="single" w:sz="7" w:space="0" w:color="000000"/>
            </w:tcBorders>
          </w:tcPr>
          <w:p w:rsidR="00000000" w:rsidRDefault="00000000">
            <w:pPr>
              <w:tabs>
                <w:tab w:val="left" w:pos="187"/>
                <w:tab w:val="left" w:pos="351"/>
              </w:tabs>
              <w:spacing w:after="22" w:line="240" w:lineRule="exact"/>
              <w:jc w:val="center"/>
              <w:rPr>
                <w:sz w:val="21"/>
                <w:szCs w:val="21"/>
                <w:lang w:val="en-GB"/>
              </w:rPr>
            </w:pPr>
            <w:r>
              <w:rPr>
                <w:sz w:val="21"/>
                <w:szCs w:val="21"/>
                <w:lang w:val="en-GB"/>
              </w:rPr>
              <w:t xml:space="preserve"> 2.3</w:t>
            </w:r>
          </w:p>
        </w:tc>
      </w:tr>
      <w:tr w:rsidR="00000000">
        <w:tblPrEx>
          <w:tblCellMar>
            <w:top w:w="0" w:type="dxa"/>
            <w:bottom w:w="0" w:type="dxa"/>
          </w:tblCellMar>
        </w:tblPrEx>
        <w:tc>
          <w:tcPr>
            <w:tcW w:w="3045" w:type="dxa"/>
            <w:tcBorders>
              <w:top w:val="single" w:sz="7" w:space="0" w:color="000000"/>
              <w:left w:val="single" w:sz="7" w:space="0" w:color="000000"/>
              <w:bottom w:val="single" w:sz="7" w:space="0" w:color="000000"/>
              <w:right w:val="single" w:sz="7" w:space="0" w:color="000000"/>
            </w:tcBorders>
          </w:tcPr>
          <w:p w:rsidR="00000000" w:rsidRDefault="00000000">
            <w:pPr>
              <w:tabs>
                <w:tab w:val="left" w:pos="187"/>
                <w:tab w:val="left" w:pos="351"/>
              </w:tabs>
              <w:spacing w:after="42" w:line="240" w:lineRule="exact"/>
              <w:rPr>
                <w:rFonts w:hint="eastAsia"/>
                <w:sz w:val="21"/>
                <w:szCs w:val="21"/>
                <w:lang w:val="en-GB"/>
              </w:rPr>
            </w:pPr>
            <w:r>
              <w:rPr>
                <w:rFonts w:hint="eastAsia"/>
                <w:sz w:val="21"/>
                <w:szCs w:val="21"/>
                <w:lang w:val="en-GB"/>
              </w:rPr>
              <w:t>全</w:t>
            </w:r>
            <w:r>
              <w:rPr>
                <w:rFonts w:hint="eastAsia"/>
                <w:sz w:val="21"/>
                <w:szCs w:val="21"/>
                <w:lang w:val="en-GB"/>
              </w:rPr>
              <w:t xml:space="preserve">  </w:t>
            </w:r>
            <w:r>
              <w:rPr>
                <w:rFonts w:hint="eastAsia"/>
                <w:sz w:val="21"/>
                <w:szCs w:val="21"/>
                <w:lang w:val="en-GB"/>
              </w:rPr>
              <w:t>国</w:t>
            </w:r>
          </w:p>
        </w:tc>
        <w:tc>
          <w:tcPr>
            <w:tcW w:w="1155" w:type="dxa"/>
            <w:tcBorders>
              <w:top w:val="single" w:sz="7" w:space="0" w:color="000000"/>
              <w:left w:val="single" w:sz="6" w:space="0" w:color="FFFFFF"/>
              <w:bottom w:val="single" w:sz="7" w:space="0" w:color="000000"/>
              <w:right w:val="single" w:sz="7" w:space="0" w:color="000000"/>
            </w:tcBorders>
          </w:tcPr>
          <w:p w:rsidR="00000000" w:rsidRDefault="00000000">
            <w:pPr>
              <w:tabs>
                <w:tab w:val="left" w:pos="187"/>
                <w:tab w:val="left" w:pos="351"/>
              </w:tabs>
              <w:spacing w:after="42" w:line="240" w:lineRule="exact"/>
              <w:jc w:val="center"/>
              <w:rPr>
                <w:sz w:val="21"/>
                <w:szCs w:val="21"/>
                <w:lang w:val="en-GB"/>
              </w:rPr>
            </w:pPr>
            <w:r>
              <w:rPr>
                <w:sz w:val="21"/>
                <w:szCs w:val="21"/>
                <w:lang w:val="en-GB"/>
              </w:rPr>
              <w:t>25,054</w:t>
            </w:r>
          </w:p>
        </w:tc>
        <w:tc>
          <w:tcPr>
            <w:tcW w:w="945" w:type="dxa"/>
            <w:tcBorders>
              <w:top w:val="single" w:sz="7" w:space="0" w:color="000000"/>
              <w:left w:val="single" w:sz="6" w:space="0" w:color="FFFFFF"/>
              <w:bottom w:val="single" w:sz="7" w:space="0" w:color="000000"/>
              <w:right w:val="single" w:sz="7" w:space="0" w:color="000000"/>
            </w:tcBorders>
          </w:tcPr>
          <w:p w:rsidR="00000000" w:rsidRDefault="00000000">
            <w:pPr>
              <w:tabs>
                <w:tab w:val="left" w:pos="187"/>
                <w:tab w:val="left" w:pos="351"/>
              </w:tabs>
              <w:spacing w:after="42" w:line="240" w:lineRule="exact"/>
              <w:jc w:val="center"/>
              <w:rPr>
                <w:sz w:val="21"/>
                <w:szCs w:val="21"/>
                <w:lang w:val="en-GB"/>
              </w:rPr>
            </w:pPr>
            <w:r>
              <w:rPr>
                <w:sz w:val="21"/>
                <w:szCs w:val="21"/>
                <w:lang w:val="en-GB"/>
              </w:rPr>
              <w:t>1,555</w:t>
            </w:r>
          </w:p>
        </w:tc>
        <w:tc>
          <w:tcPr>
            <w:tcW w:w="1050" w:type="dxa"/>
            <w:tcBorders>
              <w:top w:val="single" w:sz="7" w:space="0" w:color="000000"/>
              <w:left w:val="single" w:sz="6" w:space="0" w:color="FFFFFF"/>
              <w:bottom w:val="single" w:sz="7" w:space="0" w:color="000000"/>
              <w:right w:val="single" w:sz="7" w:space="0" w:color="000000"/>
            </w:tcBorders>
          </w:tcPr>
          <w:p w:rsidR="00000000" w:rsidRDefault="00000000">
            <w:pPr>
              <w:tabs>
                <w:tab w:val="left" w:pos="187"/>
                <w:tab w:val="left" w:pos="351"/>
              </w:tabs>
              <w:spacing w:after="42" w:line="240" w:lineRule="exact"/>
              <w:jc w:val="center"/>
              <w:rPr>
                <w:sz w:val="21"/>
                <w:szCs w:val="21"/>
                <w:lang w:val="en-GB"/>
              </w:rPr>
            </w:pPr>
            <w:r>
              <w:rPr>
                <w:sz w:val="21"/>
                <w:szCs w:val="21"/>
                <w:lang w:val="en-GB"/>
              </w:rPr>
              <w:t xml:space="preserve"> 6.2</w:t>
            </w:r>
          </w:p>
        </w:tc>
        <w:tc>
          <w:tcPr>
            <w:tcW w:w="945" w:type="dxa"/>
            <w:tcBorders>
              <w:top w:val="single" w:sz="7" w:space="0" w:color="000000"/>
              <w:left w:val="single" w:sz="6" w:space="0" w:color="FFFFFF"/>
              <w:bottom w:val="single" w:sz="7" w:space="0" w:color="000000"/>
              <w:right w:val="single" w:sz="7" w:space="0" w:color="000000"/>
            </w:tcBorders>
          </w:tcPr>
          <w:p w:rsidR="00000000" w:rsidRDefault="00000000">
            <w:pPr>
              <w:tabs>
                <w:tab w:val="left" w:pos="187"/>
                <w:tab w:val="left" w:pos="351"/>
              </w:tabs>
              <w:spacing w:after="42" w:line="240" w:lineRule="exact"/>
              <w:jc w:val="center"/>
              <w:rPr>
                <w:sz w:val="21"/>
                <w:szCs w:val="21"/>
                <w:lang w:val="en-GB"/>
              </w:rPr>
            </w:pPr>
            <w:r>
              <w:rPr>
                <w:sz w:val="21"/>
                <w:szCs w:val="21"/>
                <w:lang w:val="en-GB"/>
              </w:rPr>
              <w:t>27,004</w:t>
            </w:r>
          </w:p>
        </w:tc>
        <w:tc>
          <w:tcPr>
            <w:tcW w:w="1050" w:type="dxa"/>
            <w:tcBorders>
              <w:top w:val="single" w:sz="7" w:space="0" w:color="000000"/>
              <w:left w:val="single" w:sz="6" w:space="0" w:color="FFFFFF"/>
              <w:bottom w:val="single" w:sz="7" w:space="0" w:color="000000"/>
              <w:right w:val="single" w:sz="7" w:space="0" w:color="000000"/>
            </w:tcBorders>
          </w:tcPr>
          <w:p w:rsidR="00000000" w:rsidRDefault="00000000">
            <w:pPr>
              <w:tabs>
                <w:tab w:val="left" w:pos="187"/>
                <w:tab w:val="left" w:pos="351"/>
              </w:tabs>
              <w:spacing w:after="42" w:line="240" w:lineRule="exact"/>
              <w:jc w:val="center"/>
              <w:rPr>
                <w:sz w:val="21"/>
                <w:szCs w:val="21"/>
                <w:lang w:val="en-GB"/>
              </w:rPr>
            </w:pPr>
            <w:r>
              <w:rPr>
                <w:sz w:val="21"/>
                <w:szCs w:val="21"/>
                <w:lang w:val="en-GB"/>
              </w:rPr>
              <w:t>2,572</w:t>
            </w:r>
          </w:p>
        </w:tc>
        <w:tc>
          <w:tcPr>
            <w:tcW w:w="1050" w:type="dxa"/>
            <w:tcBorders>
              <w:top w:val="single" w:sz="7" w:space="0" w:color="000000"/>
              <w:left w:val="single" w:sz="6" w:space="0" w:color="FFFFFF"/>
              <w:bottom w:val="single" w:sz="7" w:space="0" w:color="000000"/>
              <w:right w:val="single" w:sz="7" w:space="0" w:color="000000"/>
            </w:tcBorders>
          </w:tcPr>
          <w:p w:rsidR="00000000" w:rsidRDefault="00000000">
            <w:pPr>
              <w:tabs>
                <w:tab w:val="left" w:pos="187"/>
                <w:tab w:val="left" w:pos="351"/>
              </w:tabs>
              <w:spacing w:after="42" w:line="240" w:lineRule="exact"/>
              <w:jc w:val="center"/>
              <w:rPr>
                <w:sz w:val="21"/>
                <w:szCs w:val="21"/>
                <w:lang w:val="en-GB"/>
              </w:rPr>
            </w:pPr>
            <w:r>
              <w:rPr>
                <w:sz w:val="21"/>
                <w:szCs w:val="21"/>
                <w:lang w:val="en-GB"/>
              </w:rPr>
              <w:t xml:space="preserve"> 9.5</w:t>
            </w:r>
          </w:p>
        </w:tc>
      </w:tr>
    </w:tbl>
    <w:p w:rsidR="00000000" w:rsidRDefault="00000000">
      <w:pPr>
        <w:pStyle w:val="FootnoteText"/>
        <w:spacing w:line="240" w:lineRule="exact"/>
        <w:ind w:left="2160" w:hanging="1530"/>
        <w:rPr>
          <w:rStyle w:val="FootnoteReference"/>
          <w:sz w:val="20"/>
          <w:vertAlign w:val="baseline"/>
        </w:rPr>
      </w:pPr>
      <w:r>
        <w:rPr>
          <w:rStyle w:val="FootnoteReference"/>
          <w:rFonts w:hint="eastAsia"/>
          <w:sz w:val="22"/>
          <w:vertAlign w:val="baseline"/>
        </w:rPr>
        <w:t>资料来源</w:t>
      </w:r>
      <w:r>
        <w:rPr>
          <w:rStyle w:val="FootnoteReference"/>
          <w:rFonts w:hint="eastAsia"/>
          <w:sz w:val="22"/>
          <w:vertAlign w:val="baseline"/>
          <w:lang w:val="en-GB"/>
        </w:rPr>
        <w:t>：</w:t>
      </w:r>
      <w:r>
        <w:rPr>
          <w:rStyle w:val="FootnoteReference"/>
          <w:rFonts w:hint="eastAsia"/>
          <w:sz w:val="22"/>
          <w:vertAlign w:val="baseline"/>
        </w:rPr>
        <w:t xml:space="preserve">1.  </w:t>
      </w:r>
      <w:r>
        <w:rPr>
          <w:rStyle w:val="FootnoteReference"/>
          <w:sz w:val="20"/>
          <w:vertAlign w:val="baseline"/>
        </w:rPr>
        <w:t>Lovric, E. &amp; Gereš</w:t>
      </w:r>
      <w:r>
        <w:rPr>
          <w:rStyle w:val="FootnoteReference"/>
          <w:sz w:val="20"/>
          <w:vertAlign w:val="baseline"/>
          <w:lang w:val="en-GB"/>
        </w:rPr>
        <w:t>，</w:t>
      </w:r>
      <w:r>
        <w:rPr>
          <w:rStyle w:val="FootnoteReference"/>
          <w:sz w:val="20"/>
          <w:vertAlign w:val="baseline"/>
        </w:rPr>
        <w:t>D.</w:t>
      </w:r>
      <w:r>
        <w:rPr>
          <w:rStyle w:val="FootnoteReference"/>
          <w:sz w:val="20"/>
          <w:vertAlign w:val="baseline"/>
          <w:lang w:val="en-GB"/>
        </w:rPr>
        <w:t>：</w:t>
      </w:r>
      <w:r>
        <w:rPr>
          <w:rStyle w:val="FootnoteReference"/>
          <w:sz w:val="20"/>
          <w:vertAlign w:val="baseline"/>
        </w:rPr>
        <w:t>Javna vodoopskrba u Hrvatskoj – opskrbljenost, razvoj i zdravstvena ispravnost, II stručni skup "Voda i javna</w:t>
      </w:r>
      <w:r>
        <w:rPr>
          <w:sz w:val="20"/>
        </w:rPr>
        <w:t xml:space="preserve"> </w:t>
      </w:r>
      <w:r>
        <w:rPr>
          <w:rStyle w:val="FootnoteReference"/>
          <w:sz w:val="20"/>
          <w:vertAlign w:val="baseline"/>
        </w:rPr>
        <w:t>vodoopskrba"</w:t>
      </w:r>
      <w:r>
        <w:rPr>
          <w:rStyle w:val="FootnoteReference"/>
          <w:sz w:val="20"/>
          <w:vertAlign w:val="baseline"/>
          <w:lang w:val="en-GB"/>
        </w:rPr>
        <w:t>，</w:t>
      </w:r>
      <w:r>
        <w:rPr>
          <w:rStyle w:val="FootnoteReference"/>
          <w:sz w:val="20"/>
          <w:vertAlign w:val="baseline"/>
        </w:rPr>
        <w:t>Primošten, 7-10.10.1998.</w:t>
      </w:r>
      <w:r>
        <w:rPr>
          <w:rStyle w:val="FootnoteReference"/>
          <w:sz w:val="20"/>
          <w:vertAlign w:val="baseline"/>
          <w:lang w:val="en-GB"/>
        </w:rPr>
        <w:t>，</w:t>
      </w:r>
      <w:r>
        <w:rPr>
          <w:rStyle w:val="FootnoteReference"/>
          <w:sz w:val="20"/>
          <w:vertAlign w:val="baseline"/>
        </w:rPr>
        <w:t>Zbornik radova, str. 1-14.</w:t>
      </w:r>
    </w:p>
    <w:p w:rsidR="00000000" w:rsidRDefault="00000000">
      <w:pPr>
        <w:pStyle w:val="FootnoteText"/>
        <w:spacing w:line="240" w:lineRule="exact"/>
        <w:ind w:left="2160" w:hanging="480"/>
        <w:rPr>
          <w:rStyle w:val="FootnoteReference"/>
          <w:sz w:val="20"/>
          <w:vertAlign w:val="baseline"/>
        </w:rPr>
      </w:pPr>
      <w:r>
        <w:rPr>
          <w:rStyle w:val="FootnoteReference"/>
          <w:rFonts w:hint="eastAsia"/>
          <w:sz w:val="20"/>
          <w:vertAlign w:val="baseline"/>
        </w:rPr>
        <w:t xml:space="preserve">2.  </w:t>
      </w:r>
      <w:r>
        <w:rPr>
          <w:rStyle w:val="FootnoteReference"/>
          <w:sz w:val="20"/>
          <w:vertAlign w:val="baseline"/>
        </w:rPr>
        <w:t>Hrvatski zavod za javno zdravstvo</w:t>
      </w:r>
      <w:r>
        <w:rPr>
          <w:rStyle w:val="FootnoteReference"/>
          <w:sz w:val="20"/>
          <w:vertAlign w:val="baseline"/>
          <w:lang w:val="en-GB"/>
        </w:rPr>
        <w:t>：</w:t>
      </w:r>
      <w:r>
        <w:rPr>
          <w:rStyle w:val="FootnoteReference"/>
          <w:sz w:val="20"/>
          <w:vertAlign w:val="baseline"/>
        </w:rPr>
        <w:t>Hrvatski zdravstveno-statistički ljetopis. 1992-97.</w:t>
      </w:r>
    </w:p>
    <w:p w:rsidR="00000000" w:rsidRDefault="00000000">
      <w:pPr>
        <w:spacing w:before="240"/>
      </w:pPr>
      <w:r>
        <w:rPr>
          <w:rFonts w:hint="eastAsia"/>
        </w:rPr>
        <w:tab/>
        <w:t xml:space="preserve">344.  </w:t>
      </w:r>
      <w:r>
        <w:rPr>
          <w:rFonts w:hint="eastAsia"/>
        </w:rPr>
        <w:t>克罗地亚卫生和公用事业基础设施和设备</w:t>
      </w:r>
      <w:r>
        <w:rPr>
          <w:rFonts w:hint="eastAsia"/>
        </w:rPr>
        <w:t>(</w:t>
      </w:r>
      <w:r>
        <w:rPr>
          <w:rFonts w:hint="eastAsia"/>
        </w:rPr>
        <w:t>加工厂</w:t>
      </w:r>
      <w:r>
        <w:rPr>
          <w:rFonts w:hint="eastAsia"/>
        </w:rPr>
        <w:t>)</w:t>
      </w:r>
      <w:r>
        <w:rPr>
          <w:rFonts w:hint="eastAsia"/>
        </w:rPr>
        <w:t>直接损失费超过</w:t>
      </w:r>
      <w:r>
        <w:rPr>
          <w:rFonts w:hint="eastAsia"/>
        </w:rPr>
        <w:t>3,5001</w:t>
      </w:r>
      <w:r>
        <w:rPr>
          <w:rFonts w:hint="eastAsia"/>
        </w:rPr>
        <w:t>万库纳</w:t>
      </w:r>
      <w:r>
        <w:rPr>
          <w:rFonts w:hint="eastAsia"/>
        </w:rPr>
        <w:t>(700</w:t>
      </w:r>
      <w:r>
        <w:rPr>
          <w:rFonts w:hint="eastAsia"/>
        </w:rPr>
        <w:t>万美元</w:t>
      </w:r>
      <w:r>
        <w:rPr>
          <w:rFonts w:hint="eastAsia"/>
        </w:rPr>
        <w:t>)</w:t>
      </w:r>
      <w:r>
        <w:rPr>
          <w:rFonts w:hint="eastAsia"/>
        </w:rPr>
        <w:t>。而供水系统的直接损失几乎达</w:t>
      </w:r>
      <w:r>
        <w:rPr>
          <w:rFonts w:hint="eastAsia"/>
        </w:rPr>
        <w:t>15,000</w:t>
      </w:r>
      <w:r>
        <w:rPr>
          <w:rFonts w:hint="eastAsia"/>
        </w:rPr>
        <w:t>万库纳</w:t>
      </w:r>
      <w:r>
        <w:rPr>
          <w:rFonts w:hint="eastAsia"/>
        </w:rPr>
        <w:t>(3,000</w:t>
      </w:r>
      <w:r>
        <w:rPr>
          <w:rFonts w:hint="eastAsia"/>
        </w:rPr>
        <w:t>万美元</w:t>
      </w:r>
      <w:r>
        <w:rPr>
          <w:rFonts w:hint="eastAsia"/>
        </w:rPr>
        <w:t>)</w:t>
      </w:r>
      <w:r>
        <w:rPr>
          <w:rFonts w:hint="eastAsia"/>
        </w:rPr>
        <w:t>。克罗地亚利用当地财务资源已经修复了许多遭破坏或摧毁的设施和设备项目，但其中一些的重建工作仍有待进行。优先事项是对下列饮水供应和公用事业设施投资，以使它们可迅速交付使用：</w:t>
      </w:r>
    </w:p>
    <w:p w:rsidR="00000000" w:rsidRDefault="00000000">
      <w:pPr>
        <w:pStyle w:val="a5"/>
      </w:pPr>
      <w:r>
        <w:t>(a)</w:t>
      </w:r>
      <w:r>
        <w:tab/>
      </w:r>
      <w:r>
        <w:rPr>
          <w:rFonts w:hint="eastAsia"/>
        </w:rPr>
        <w:t>在受战争严重破害地区重建供水系统；</w:t>
      </w:r>
    </w:p>
    <w:p w:rsidR="00000000" w:rsidRDefault="00000000">
      <w:pPr>
        <w:pStyle w:val="a5"/>
      </w:pPr>
      <w:r>
        <w:t>(b)</w:t>
      </w:r>
      <w:r>
        <w:tab/>
      </w:r>
      <w:r>
        <w:rPr>
          <w:rFonts w:hint="eastAsia"/>
        </w:rPr>
        <w:t>在城市中心</w:t>
      </w:r>
      <w:r>
        <w:rPr>
          <w:rFonts w:hint="eastAsia"/>
        </w:rPr>
        <w:t>(</w:t>
      </w:r>
      <w:r>
        <w:rPr>
          <w:rFonts w:hint="eastAsia"/>
        </w:rPr>
        <w:t>如</w:t>
      </w:r>
      <w:r>
        <w:t>Zadar</w:t>
      </w:r>
      <w:r>
        <w:rPr>
          <w:rFonts w:hint="eastAsia"/>
        </w:rPr>
        <w:t>、</w:t>
      </w:r>
      <w:r>
        <w:t>Split</w:t>
      </w:r>
      <w:r>
        <w:rPr>
          <w:rFonts w:hint="eastAsia"/>
        </w:rPr>
        <w:t>、</w:t>
      </w:r>
      <w:r>
        <w:t>Karlovac</w:t>
      </w:r>
      <w:r>
        <w:rPr>
          <w:rFonts w:hint="eastAsia"/>
        </w:rPr>
        <w:t>、</w:t>
      </w:r>
      <w:r>
        <w:t>Zagreb</w:t>
      </w:r>
      <w:r>
        <w:rPr>
          <w:rFonts w:hint="eastAsia"/>
        </w:rPr>
        <w:t>、</w:t>
      </w:r>
      <w:r>
        <w:t>Sisak</w:t>
      </w:r>
      <w:r>
        <w:rPr>
          <w:rFonts w:hint="eastAsia"/>
        </w:rPr>
        <w:t>、</w:t>
      </w:r>
      <w:r>
        <w:t>Novska</w:t>
      </w:r>
      <w:r>
        <w:rPr>
          <w:rFonts w:hint="eastAsia"/>
        </w:rPr>
        <w:t>、</w:t>
      </w:r>
      <w:r>
        <w:t>Varazdin</w:t>
      </w:r>
      <w:r>
        <w:rPr>
          <w:rFonts w:hint="eastAsia"/>
        </w:rPr>
        <w:t>、</w:t>
      </w:r>
      <w:r>
        <w:t>Bjelovar</w:t>
      </w:r>
      <w:r>
        <w:rPr>
          <w:rFonts w:hint="eastAsia"/>
        </w:rPr>
        <w:t>、</w:t>
      </w:r>
      <w:r>
        <w:t>Virovitica</w:t>
      </w:r>
      <w:r>
        <w:rPr>
          <w:rFonts w:hint="eastAsia"/>
        </w:rPr>
        <w:t>、</w:t>
      </w:r>
      <w:r>
        <w:t>Gradiska</w:t>
      </w:r>
      <w:r>
        <w:rPr>
          <w:rFonts w:hint="eastAsia"/>
        </w:rPr>
        <w:t>、</w:t>
      </w:r>
      <w:r>
        <w:t>Pozega</w:t>
      </w:r>
      <w:r>
        <w:rPr>
          <w:rFonts w:hint="eastAsia"/>
        </w:rPr>
        <w:t>、</w:t>
      </w:r>
      <w:r>
        <w:t>Slavonski Brod</w:t>
      </w:r>
      <w:r>
        <w:rPr>
          <w:rFonts w:hint="eastAsia"/>
        </w:rPr>
        <w:t>、</w:t>
      </w:r>
      <w:r>
        <w:t>Vinkovci</w:t>
      </w:r>
      <w:r>
        <w:rPr>
          <w:rFonts w:hint="eastAsia"/>
        </w:rPr>
        <w:t>和</w:t>
      </w:r>
      <w:r>
        <w:t>Osijek)</w:t>
      </w:r>
      <w:r>
        <w:rPr>
          <w:rFonts w:hint="eastAsia"/>
        </w:rPr>
        <w:t>修复供水设施和公用事业设施，这些中心的现有设施由于需求压力扩大而超负荷，特别是来自克罗地亚和波斯尼亚和黑塞哥维那的难民和流离失所者的需求压力；</w:t>
      </w:r>
    </w:p>
    <w:p w:rsidR="00000000" w:rsidRDefault="00000000">
      <w:pPr>
        <w:pStyle w:val="a5"/>
      </w:pPr>
      <w:r>
        <w:t>(c)</w:t>
      </w:r>
      <w:r>
        <w:tab/>
      </w:r>
      <w:r>
        <w:rPr>
          <w:rFonts w:hint="eastAsia"/>
        </w:rPr>
        <w:t>在回归地区重建供水系统、净化工厂和公共事业系统；</w:t>
      </w:r>
    </w:p>
    <w:p w:rsidR="00000000" w:rsidRDefault="00000000">
      <w:pPr>
        <w:pStyle w:val="a5"/>
      </w:pPr>
      <w:r>
        <w:t>(d)</w:t>
      </w:r>
      <w:r>
        <w:tab/>
      </w:r>
      <w:r>
        <w:rPr>
          <w:rFonts w:hint="eastAsia"/>
        </w:rPr>
        <w:t>在整个克罗地亚特别是在亚得里亚海流域地区，改善公用事业系统。</w:t>
      </w:r>
    </w:p>
    <w:p w:rsidR="00000000" w:rsidRDefault="00000000">
      <w:r>
        <w:rPr>
          <w:rFonts w:hint="eastAsia"/>
        </w:rPr>
        <w:tab/>
        <w:t xml:space="preserve">345.  </w:t>
      </w:r>
      <w:r>
        <w:rPr>
          <w:rFonts w:hint="eastAsia"/>
        </w:rPr>
        <w:t>供水规划分三个层面：中央，即国家、县和市或镇。</w:t>
      </w:r>
      <w:r>
        <w:rPr>
          <w:rFonts w:hint="eastAsia"/>
        </w:rPr>
        <w:t>1995</w:t>
      </w:r>
      <w:r>
        <w:rPr>
          <w:rFonts w:hint="eastAsia"/>
        </w:rPr>
        <w:t>年的水法规定水的使用必须服从综合规划的管理。</w:t>
      </w:r>
    </w:p>
    <w:p w:rsidR="00000000" w:rsidRDefault="00000000">
      <w:r>
        <w:rPr>
          <w:rFonts w:hint="eastAsia"/>
        </w:rPr>
        <w:tab/>
        <w:t xml:space="preserve">346.  </w:t>
      </w:r>
      <w:r>
        <w:rPr>
          <w:rFonts w:hint="eastAsia"/>
        </w:rPr>
        <w:t>发展公共水供应系统总体战略和原则的目标是克罗地亚共和国所有地区和县得到更为协调均衡的发展，生活质量提高，而这又直接取决于满足饮水需要。</w:t>
      </w:r>
    </w:p>
    <w:p w:rsidR="00000000" w:rsidRDefault="00000000">
      <w:r>
        <w:rPr>
          <w:rFonts w:hint="eastAsia"/>
        </w:rPr>
        <w:tab/>
        <w:t xml:space="preserve">347.  </w:t>
      </w:r>
      <w:r>
        <w:rPr>
          <w:rFonts w:hint="eastAsia"/>
        </w:rPr>
        <w:t>发展饮水供应系统的方案得到约</w:t>
      </w:r>
      <w:r>
        <w:rPr>
          <w:rFonts w:hint="eastAsia"/>
        </w:rPr>
        <w:t>45%</w:t>
      </w:r>
      <w:r>
        <w:rPr>
          <w:rFonts w:hint="eastAsia"/>
        </w:rPr>
        <w:t>的必要资金，这远远不够。</w:t>
      </w:r>
      <w:r>
        <w:rPr>
          <w:rFonts w:hint="eastAsia"/>
        </w:rPr>
        <w:t>1996-2000</w:t>
      </w:r>
      <w:r>
        <w:rPr>
          <w:rFonts w:hint="eastAsia"/>
        </w:rPr>
        <w:t>年期间发展公共饮水供应系统的一般方案有两个备选办法。</w:t>
      </w:r>
    </w:p>
    <w:p w:rsidR="00000000" w:rsidRDefault="00000000">
      <w:r>
        <w:rPr>
          <w:rFonts w:hint="eastAsia"/>
        </w:rPr>
        <w:tab/>
      </w:r>
      <w:r>
        <w:tab/>
      </w:r>
      <w:r>
        <w:rPr>
          <w:rFonts w:hint="eastAsia"/>
          <w:u w:val="single"/>
        </w:rPr>
        <w:t>备选办法</w:t>
      </w:r>
      <w:r>
        <w:rPr>
          <w:rFonts w:hint="eastAsia"/>
          <w:u w:val="single"/>
        </w:rPr>
        <w:t>1</w:t>
      </w:r>
      <w:r>
        <w:rPr>
          <w:rFonts w:hint="eastAsia"/>
        </w:rPr>
        <w:t>：公共饮水供应系统向克罗地亚</w:t>
      </w:r>
      <w:r>
        <w:rPr>
          <w:rFonts w:hint="eastAsia"/>
        </w:rPr>
        <w:t>90%</w:t>
      </w:r>
      <w:r>
        <w:rPr>
          <w:rFonts w:hint="eastAsia"/>
        </w:rPr>
        <w:t>的居民供应饮水并解决工</w:t>
      </w:r>
      <w:r>
        <w:tab/>
      </w:r>
      <w:r>
        <w:tab/>
      </w:r>
      <w:r>
        <w:tab/>
      </w:r>
      <w:r>
        <w:tab/>
      </w:r>
      <w:r>
        <w:tab/>
      </w:r>
      <w:r>
        <w:rPr>
          <w:rFonts w:hint="eastAsia"/>
        </w:rPr>
        <w:t>业需要；</w:t>
      </w:r>
    </w:p>
    <w:p w:rsidR="00000000" w:rsidRDefault="00000000">
      <w:r>
        <w:rPr>
          <w:rFonts w:hint="eastAsia"/>
        </w:rPr>
        <w:tab/>
      </w:r>
      <w:r>
        <w:tab/>
      </w:r>
      <w:r>
        <w:rPr>
          <w:rFonts w:hint="eastAsia"/>
          <w:u w:val="single"/>
        </w:rPr>
        <w:t>备选办法</w:t>
      </w:r>
      <w:r>
        <w:rPr>
          <w:rFonts w:hint="eastAsia"/>
          <w:u w:val="single"/>
        </w:rPr>
        <w:t>2</w:t>
      </w:r>
      <w:r>
        <w:rPr>
          <w:rFonts w:hint="eastAsia"/>
        </w:rPr>
        <w:t>：公共饮水供应系统向克罗地亚</w:t>
      </w:r>
      <w:r>
        <w:rPr>
          <w:rFonts w:hint="eastAsia"/>
        </w:rPr>
        <w:t>81%</w:t>
      </w:r>
      <w:r>
        <w:rPr>
          <w:rFonts w:hint="eastAsia"/>
        </w:rPr>
        <w:t>的居民提供饮水并解决工</w:t>
      </w:r>
      <w:r>
        <w:tab/>
      </w:r>
      <w:r>
        <w:tab/>
      </w:r>
      <w:r>
        <w:tab/>
      </w:r>
      <w:r>
        <w:tab/>
      </w:r>
      <w:r>
        <w:tab/>
      </w:r>
      <w:r>
        <w:rPr>
          <w:rFonts w:hint="eastAsia"/>
        </w:rPr>
        <w:t>业需要。</w:t>
      </w:r>
    </w:p>
    <w:p w:rsidR="00000000" w:rsidRDefault="00000000">
      <w:r>
        <w:rPr>
          <w:rFonts w:hint="eastAsia"/>
        </w:rPr>
        <w:tab/>
      </w:r>
      <w:r>
        <w:tab/>
      </w:r>
      <w:r>
        <w:rPr>
          <w:rFonts w:hint="eastAsia"/>
        </w:rPr>
        <w:t>备选办法</w:t>
      </w:r>
      <w:r>
        <w:rPr>
          <w:rFonts w:hint="eastAsia"/>
        </w:rPr>
        <w:t>1</w:t>
      </w:r>
      <w:r>
        <w:rPr>
          <w:rFonts w:hint="eastAsia"/>
        </w:rPr>
        <w:t>需要有</w:t>
      </w:r>
      <w:r>
        <w:rPr>
          <w:rFonts w:hint="eastAsia"/>
        </w:rPr>
        <w:t>48.35</w:t>
      </w:r>
      <w:r>
        <w:rPr>
          <w:rFonts w:hint="eastAsia"/>
        </w:rPr>
        <w:t>立方米</w:t>
      </w:r>
      <w:r>
        <w:rPr>
          <w:rFonts w:hint="eastAsia"/>
        </w:rPr>
        <w:t>/</w:t>
      </w:r>
      <w:r>
        <w:rPr>
          <w:rFonts w:hint="eastAsia"/>
        </w:rPr>
        <w:t>秒的供应能力，备选办法</w:t>
      </w:r>
      <w:r>
        <w:rPr>
          <w:rFonts w:hint="eastAsia"/>
        </w:rPr>
        <w:t>2</w:t>
      </w:r>
      <w:r>
        <w:rPr>
          <w:rFonts w:hint="eastAsia"/>
        </w:rPr>
        <w:t>需要有</w:t>
      </w:r>
      <w:r>
        <w:rPr>
          <w:rFonts w:hint="eastAsia"/>
        </w:rPr>
        <w:t>38.72</w:t>
      </w:r>
      <w:r>
        <w:tab/>
      </w:r>
      <w:r>
        <w:tab/>
      </w:r>
      <w:r>
        <w:rPr>
          <w:rFonts w:hint="eastAsia"/>
        </w:rPr>
        <w:t>立方米</w:t>
      </w:r>
      <w:r>
        <w:rPr>
          <w:rFonts w:hint="eastAsia"/>
        </w:rPr>
        <w:t>/</w:t>
      </w:r>
      <w:r>
        <w:rPr>
          <w:rFonts w:hint="eastAsia"/>
        </w:rPr>
        <w:t>秒的供应能力。</w:t>
      </w:r>
    </w:p>
    <w:p w:rsidR="00000000" w:rsidRDefault="00000000">
      <w:r>
        <w:rPr>
          <w:rFonts w:hint="eastAsia"/>
        </w:rPr>
        <w:t>备选办法</w:t>
      </w:r>
      <w:r>
        <w:rPr>
          <w:rFonts w:hint="eastAsia"/>
        </w:rPr>
        <w:t>1</w:t>
      </w:r>
      <w:r>
        <w:rPr>
          <w:rFonts w:hint="eastAsia"/>
        </w:rPr>
        <w:t>的计划投资为</w:t>
      </w:r>
      <w:r>
        <w:rPr>
          <w:rFonts w:hint="eastAsia"/>
        </w:rPr>
        <w:t>152,000</w:t>
      </w:r>
      <w:r>
        <w:rPr>
          <w:rFonts w:hint="eastAsia"/>
        </w:rPr>
        <w:t>万德国马克</w:t>
      </w:r>
      <w:r>
        <w:rPr>
          <w:rFonts w:hint="eastAsia"/>
        </w:rPr>
        <w:t>(570,000</w:t>
      </w:r>
      <w:r>
        <w:rPr>
          <w:rFonts w:hint="eastAsia"/>
        </w:rPr>
        <w:t>万库纳</w:t>
      </w:r>
      <w:r>
        <w:rPr>
          <w:rFonts w:hint="eastAsia"/>
        </w:rPr>
        <w:t>)</w:t>
      </w:r>
      <w:r>
        <w:rPr>
          <w:rFonts w:hint="eastAsia"/>
        </w:rPr>
        <w:t>，第</w:t>
      </w:r>
      <w:r>
        <w:rPr>
          <w:rFonts w:hint="eastAsia"/>
        </w:rPr>
        <w:t>2</w:t>
      </w:r>
      <w:r>
        <w:rPr>
          <w:rFonts w:hint="eastAsia"/>
        </w:rPr>
        <w:t>备选办法为</w:t>
      </w:r>
      <w:r>
        <w:rPr>
          <w:rFonts w:hint="eastAsia"/>
        </w:rPr>
        <w:t>95,300</w:t>
      </w:r>
      <w:r>
        <w:rPr>
          <w:rFonts w:hint="eastAsia"/>
        </w:rPr>
        <w:t>万德国马克</w:t>
      </w:r>
      <w:r>
        <w:rPr>
          <w:rFonts w:hint="eastAsia"/>
        </w:rPr>
        <w:t>(350,000</w:t>
      </w:r>
      <w:r>
        <w:rPr>
          <w:rFonts w:hint="eastAsia"/>
        </w:rPr>
        <w:t>万库纳</w:t>
      </w:r>
      <w:r>
        <w:rPr>
          <w:rFonts w:hint="eastAsia"/>
        </w:rPr>
        <w:t>)</w:t>
      </w:r>
      <w:r>
        <w:rPr>
          <w:rFonts w:hint="eastAsia"/>
        </w:rPr>
        <w:t>。</w:t>
      </w:r>
    </w:p>
    <w:p w:rsidR="00000000" w:rsidRDefault="00000000">
      <w:r>
        <w:rPr>
          <w:rFonts w:hint="eastAsia"/>
        </w:rPr>
        <w:tab/>
        <w:t xml:space="preserve">348.  </w:t>
      </w:r>
      <w:r>
        <w:rPr>
          <w:rFonts w:hint="eastAsia"/>
        </w:rPr>
        <w:t>发展饮水供应系统缺乏必要资金的问题说明必须用法律规章来管理发展资金来源。我们还必须为每一备选办法额外准备</w:t>
      </w:r>
      <w:r>
        <w:rPr>
          <w:rFonts w:hint="eastAsia"/>
        </w:rPr>
        <w:t>10%-15%</w:t>
      </w:r>
      <w:r>
        <w:rPr>
          <w:rFonts w:hint="eastAsia"/>
        </w:rPr>
        <w:t>的资源，以便现有技术程序能得到改善和饮水安全得到保障。</w:t>
      </w:r>
    </w:p>
    <w:p w:rsidR="00000000" w:rsidRDefault="00000000">
      <w:r>
        <w:rPr>
          <w:rFonts w:hint="eastAsia"/>
        </w:rPr>
        <w:tab/>
        <w:t xml:space="preserve">349.  </w:t>
      </w:r>
      <w:r>
        <w:rPr>
          <w:rFonts w:hint="eastAsia"/>
        </w:rPr>
        <w:t>在</w:t>
      </w:r>
      <w:r>
        <w:rPr>
          <w:rFonts w:hint="eastAsia"/>
        </w:rPr>
        <w:t>1994</w:t>
      </w:r>
      <w:r>
        <w:rPr>
          <w:rFonts w:hint="eastAsia"/>
        </w:rPr>
        <w:t>年和</w:t>
      </w:r>
      <w:r>
        <w:rPr>
          <w:rFonts w:hint="eastAsia"/>
        </w:rPr>
        <w:t>1995</w:t>
      </w:r>
      <w:r>
        <w:rPr>
          <w:rFonts w:hint="eastAsia"/>
        </w:rPr>
        <w:t>年期间，</w:t>
      </w:r>
      <w:r>
        <w:t>Lipik</w:t>
      </w:r>
      <w:r>
        <w:rPr>
          <w:rFonts w:hint="eastAsia"/>
        </w:rPr>
        <w:t>、</w:t>
      </w:r>
      <w:r>
        <w:t>Pakrac</w:t>
      </w:r>
      <w:r>
        <w:rPr>
          <w:rFonts w:hint="eastAsia"/>
        </w:rPr>
        <w:t>和</w:t>
      </w:r>
      <w:r>
        <w:t>Daruvar</w:t>
      </w:r>
      <w:r>
        <w:rPr>
          <w:rFonts w:hint="eastAsia"/>
        </w:rPr>
        <w:t>地区和另两个较小定居点</w:t>
      </w:r>
      <w:r>
        <w:rPr>
          <w:rFonts w:hint="eastAsia"/>
        </w:rPr>
        <w:t>(</w:t>
      </w:r>
      <w:r>
        <w:rPr>
          <w:rFonts w:hint="eastAsia"/>
        </w:rPr>
        <w:t>例如</w:t>
      </w:r>
      <w:r>
        <w:t>Dulovac)</w:t>
      </w:r>
      <w:r>
        <w:rPr>
          <w:rFonts w:hint="eastAsia"/>
        </w:rPr>
        <w:t>对饮水进行了抽样化验。多数水井没有按技术标准条例建造，主要以砖头或石头为建筑材料。</w:t>
      </w:r>
    </w:p>
    <w:p w:rsidR="00000000" w:rsidRDefault="00000000">
      <w:r>
        <w:rPr>
          <w:rFonts w:hint="eastAsia"/>
        </w:rPr>
        <w:tab/>
        <w:t xml:space="preserve">350.  </w:t>
      </w:r>
      <w:r>
        <w:rPr>
          <w:rFonts w:hint="eastAsia"/>
        </w:rPr>
        <w:t>为此原因，多数水井没有达到起码的卫生标准。预计在对</w:t>
      </w:r>
      <w:r>
        <w:t>Pakrac</w:t>
      </w:r>
      <w:r>
        <w:rPr>
          <w:rFonts w:hint="eastAsia"/>
        </w:rPr>
        <w:t>饮水供应系统进行修缮后，情况将有相当大的改善</w:t>
      </w:r>
      <w:r>
        <w:rPr>
          <w:rFonts w:hint="eastAsia"/>
        </w:rPr>
        <w:t>(</w:t>
      </w:r>
      <w:r>
        <w:rPr>
          <w:rFonts w:hint="eastAsia"/>
        </w:rPr>
        <w:t>从而确保</w:t>
      </w:r>
      <w:r>
        <w:t>Pakrac</w:t>
      </w:r>
      <w:r>
        <w:rPr>
          <w:rFonts w:hint="eastAsia"/>
        </w:rPr>
        <w:t>和</w:t>
      </w:r>
      <w:r>
        <w:t>Lipik</w:t>
      </w:r>
      <w:r>
        <w:rPr>
          <w:rFonts w:hint="eastAsia"/>
        </w:rPr>
        <w:t>有安全的饮水</w:t>
      </w:r>
      <w:r>
        <w:rPr>
          <w:rFonts w:hint="eastAsia"/>
        </w:rPr>
        <w:t>)</w:t>
      </w:r>
      <w:r>
        <w:rPr>
          <w:rFonts w:hint="eastAsia"/>
        </w:rPr>
        <w:t>。除了修缮外，其他措施已开始付诸实施，如对私人饮水供应设施有系统的用氯消毒。表</w:t>
      </w:r>
      <w:r>
        <w:rPr>
          <w:rFonts w:hint="eastAsia"/>
        </w:rPr>
        <w:t>4</w:t>
      </w:r>
      <w:r>
        <w:rPr>
          <w:rFonts w:hint="eastAsia"/>
        </w:rPr>
        <w:t>显示了对水质量的调查结果。</w:t>
      </w:r>
    </w:p>
    <w:p w:rsidR="00000000" w:rsidRDefault="00000000">
      <w:pPr>
        <w:spacing w:after="240"/>
      </w:pPr>
      <w:r>
        <w:rPr>
          <w:rFonts w:hint="eastAsia"/>
        </w:rPr>
        <w:tab/>
        <w:t xml:space="preserve">351.  </w:t>
      </w:r>
      <w:r>
        <w:rPr>
          <w:rFonts w:hint="eastAsia"/>
        </w:rPr>
        <w:t>表</w:t>
      </w:r>
      <w:r>
        <w:rPr>
          <w:rFonts w:hint="eastAsia"/>
        </w:rPr>
        <w:t>4</w:t>
      </w:r>
      <w:r>
        <w:rPr>
          <w:rFonts w:hint="eastAsia"/>
        </w:rPr>
        <w:t>显示的结果之一是大量传染性肠胃病在有些家庭通过水传染。</w:t>
      </w:r>
    </w:p>
    <w:p w:rsidR="00000000" w:rsidRDefault="00000000">
      <w:pPr>
        <w:pStyle w:val="Heading3"/>
        <w:rPr>
          <w:rFonts w:eastAsia="KaiTi_GB2312" w:hint="eastAsia"/>
          <w:spacing w:val="0"/>
        </w:rPr>
      </w:pPr>
      <w:r>
        <w:rPr>
          <w:rFonts w:hint="eastAsia"/>
          <w:kern w:val="0"/>
        </w:rPr>
        <w:t>表</w:t>
      </w:r>
      <w:r>
        <w:rPr>
          <w:rFonts w:eastAsia="KaiTi_GB2312" w:hint="eastAsia"/>
          <w:spacing w:val="0"/>
        </w:rPr>
        <w:t xml:space="preserve">4.  </w:t>
      </w:r>
      <w:r>
        <w:rPr>
          <w:lang w:val="en-GB"/>
        </w:rPr>
        <w:t>Lipik</w:t>
      </w:r>
      <w:r>
        <w:rPr>
          <w:rFonts w:hint="eastAsia"/>
          <w:lang w:val="en-GB"/>
        </w:rPr>
        <w:t>、</w:t>
      </w:r>
      <w:r>
        <w:t>Pakrac</w:t>
      </w:r>
      <w:r>
        <w:rPr>
          <w:rFonts w:hint="eastAsia"/>
        </w:rPr>
        <w:t>和</w:t>
      </w:r>
      <w:r>
        <w:t>Daruvar</w:t>
      </w:r>
      <w:r>
        <w:rPr>
          <w:rFonts w:hint="eastAsia"/>
        </w:rPr>
        <w:t>地区饮用水安全情况测试结果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2"/>
        <w:gridCol w:w="2393"/>
        <w:gridCol w:w="2393"/>
      </w:tblGrid>
      <w:tr w:rsidR="00000000">
        <w:tblPrEx>
          <w:tblCellMar>
            <w:top w:w="0" w:type="dxa"/>
            <w:bottom w:w="0" w:type="dxa"/>
          </w:tblCellMar>
        </w:tblPrEx>
        <w:tc>
          <w:tcPr>
            <w:tcW w:w="2392" w:type="dxa"/>
          </w:tcPr>
          <w:p w:rsidR="00000000" w:rsidRDefault="00000000">
            <w:pPr>
              <w:spacing w:before="80" w:line="240" w:lineRule="exact"/>
              <w:jc w:val="center"/>
              <w:rPr>
                <w:rFonts w:hint="eastAsia"/>
                <w:sz w:val="22"/>
              </w:rPr>
            </w:pPr>
            <w:r>
              <w:rPr>
                <w:rFonts w:hint="eastAsia"/>
                <w:sz w:val="22"/>
                <w:szCs w:val="22"/>
                <w:lang w:val="en-GB"/>
              </w:rPr>
              <w:t>地</w:t>
            </w:r>
            <w:r>
              <w:rPr>
                <w:rFonts w:hint="eastAsia"/>
                <w:sz w:val="22"/>
                <w:szCs w:val="22"/>
                <w:lang w:val="en-GB"/>
              </w:rPr>
              <w:t xml:space="preserve"> </w:t>
            </w:r>
            <w:r>
              <w:rPr>
                <w:rFonts w:hint="eastAsia"/>
                <w:sz w:val="22"/>
                <w:szCs w:val="22"/>
                <w:lang w:val="en-GB"/>
              </w:rPr>
              <w:t>区</w:t>
            </w:r>
            <w:r>
              <w:rPr>
                <w:rFonts w:hint="eastAsia"/>
                <w:sz w:val="22"/>
                <w:szCs w:val="22"/>
                <w:lang w:val="en-GB"/>
              </w:rPr>
              <w:t xml:space="preserve"> </w:t>
            </w:r>
            <w:r>
              <w:rPr>
                <w:rFonts w:hint="eastAsia"/>
                <w:sz w:val="22"/>
                <w:szCs w:val="22"/>
                <w:lang w:val="en-GB"/>
              </w:rPr>
              <w:t>名</w:t>
            </w:r>
          </w:p>
        </w:tc>
        <w:tc>
          <w:tcPr>
            <w:tcW w:w="2392" w:type="dxa"/>
          </w:tcPr>
          <w:p w:rsidR="00000000" w:rsidRDefault="00000000">
            <w:pPr>
              <w:spacing w:before="80" w:line="240" w:lineRule="exact"/>
              <w:jc w:val="center"/>
              <w:rPr>
                <w:rFonts w:hint="eastAsia"/>
                <w:sz w:val="22"/>
              </w:rPr>
            </w:pPr>
            <w:r>
              <w:rPr>
                <w:rFonts w:hint="eastAsia"/>
                <w:sz w:val="22"/>
                <w:szCs w:val="22"/>
                <w:lang w:val="en-GB"/>
              </w:rPr>
              <w:t>取</w:t>
            </w:r>
            <w:r>
              <w:rPr>
                <w:rFonts w:hint="eastAsia"/>
                <w:sz w:val="22"/>
                <w:szCs w:val="22"/>
                <w:lang w:val="en-GB"/>
              </w:rPr>
              <w:t xml:space="preserve"> </w:t>
            </w:r>
            <w:r>
              <w:rPr>
                <w:rFonts w:hint="eastAsia"/>
                <w:sz w:val="22"/>
                <w:szCs w:val="22"/>
                <w:lang w:val="en-GB"/>
              </w:rPr>
              <w:t>样</w:t>
            </w:r>
            <w:r>
              <w:rPr>
                <w:rFonts w:hint="eastAsia"/>
                <w:sz w:val="22"/>
                <w:szCs w:val="22"/>
                <w:lang w:val="en-GB"/>
              </w:rPr>
              <w:t xml:space="preserve"> </w:t>
            </w:r>
            <w:r>
              <w:rPr>
                <w:rFonts w:hint="eastAsia"/>
                <w:sz w:val="22"/>
                <w:szCs w:val="22"/>
                <w:lang w:val="en-GB"/>
              </w:rPr>
              <w:t>数</w:t>
            </w:r>
          </w:p>
        </w:tc>
        <w:tc>
          <w:tcPr>
            <w:tcW w:w="2393" w:type="dxa"/>
          </w:tcPr>
          <w:p w:rsidR="00000000" w:rsidRDefault="00000000">
            <w:pPr>
              <w:spacing w:before="80" w:line="240" w:lineRule="exact"/>
              <w:jc w:val="center"/>
              <w:rPr>
                <w:rFonts w:hint="eastAsia"/>
                <w:sz w:val="22"/>
              </w:rPr>
            </w:pPr>
            <w:r>
              <w:rPr>
                <w:rFonts w:hint="eastAsia"/>
                <w:sz w:val="22"/>
                <w:szCs w:val="22"/>
                <w:lang w:val="en-GB"/>
              </w:rPr>
              <w:t>供水设施</w:t>
            </w:r>
          </w:p>
        </w:tc>
        <w:tc>
          <w:tcPr>
            <w:tcW w:w="2393" w:type="dxa"/>
          </w:tcPr>
          <w:p w:rsidR="00000000" w:rsidRDefault="00000000">
            <w:pPr>
              <w:spacing w:before="80" w:line="240" w:lineRule="exact"/>
              <w:jc w:val="center"/>
              <w:rPr>
                <w:rFonts w:hint="eastAsia"/>
                <w:sz w:val="22"/>
              </w:rPr>
            </w:pPr>
            <w:r>
              <w:rPr>
                <w:rFonts w:hint="eastAsia"/>
                <w:sz w:val="22"/>
                <w:szCs w:val="22"/>
                <w:lang w:val="en-GB"/>
              </w:rPr>
              <w:t>质量不佳百分比</w:t>
            </w:r>
          </w:p>
        </w:tc>
      </w:tr>
      <w:tr w:rsidR="00000000">
        <w:tblPrEx>
          <w:tblCellMar>
            <w:top w:w="0" w:type="dxa"/>
            <w:bottom w:w="0" w:type="dxa"/>
          </w:tblCellMar>
        </w:tblPrEx>
        <w:tc>
          <w:tcPr>
            <w:tcW w:w="2392" w:type="dxa"/>
          </w:tcPr>
          <w:p w:rsidR="00000000" w:rsidRDefault="00000000">
            <w:pPr>
              <w:spacing w:before="80" w:line="240" w:lineRule="exact"/>
              <w:rPr>
                <w:rFonts w:hint="eastAsia"/>
                <w:sz w:val="22"/>
              </w:rPr>
            </w:pPr>
            <w:r>
              <w:rPr>
                <w:sz w:val="22"/>
                <w:szCs w:val="22"/>
                <w:lang w:val="en-GB"/>
              </w:rPr>
              <w:t>Lipik</w:t>
            </w:r>
          </w:p>
        </w:tc>
        <w:tc>
          <w:tcPr>
            <w:tcW w:w="2392" w:type="dxa"/>
          </w:tcPr>
          <w:p w:rsidR="00000000" w:rsidRDefault="00000000">
            <w:pPr>
              <w:spacing w:before="80" w:line="240" w:lineRule="exact"/>
              <w:ind w:right="964"/>
              <w:jc w:val="right"/>
              <w:rPr>
                <w:rFonts w:hint="eastAsia"/>
                <w:sz w:val="22"/>
              </w:rPr>
            </w:pPr>
            <w:r>
              <w:rPr>
                <w:rFonts w:hint="eastAsia"/>
                <w:sz w:val="22"/>
              </w:rPr>
              <w:t>45</w:t>
            </w:r>
          </w:p>
        </w:tc>
        <w:tc>
          <w:tcPr>
            <w:tcW w:w="2393" w:type="dxa"/>
          </w:tcPr>
          <w:p w:rsidR="00000000" w:rsidRDefault="00000000">
            <w:pPr>
              <w:spacing w:before="80" w:line="240" w:lineRule="exact"/>
              <w:jc w:val="center"/>
              <w:rPr>
                <w:rFonts w:hint="eastAsia"/>
                <w:sz w:val="22"/>
              </w:rPr>
            </w:pPr>
            <w:r>
              <w:rPr>
                <w:rFonts w:hint="eastAsia"/>
                <w:sz w:val="22"/>
              </w:rPr>
              <w:t>私</w:t>
            </w:r>
            <w:r>
              <w:rPr>
                <w:rFonts w:hint="eastAsia"/>
                <w:sz w:val="22"/>
              </w:rPr>
              <w:t xml:space="preserve"> </w:t>
            </w:r>
            <w:r>
              <w:rPr>
                <w:rFonts w:hint="eastAsia"/>
                <w:sz w:val="22"/>
              </w:rPr>
              <w:t>人</w:t>
            </w:r>
          </w:p>
        </w:tc>
        <w:tc>
          <w:tcPr>
            <w:tcW w:w="2393" w:type="dxa"/>
          </w:tcPr>
          <w:p w:rsidR="00000000" w:rsidRDefault="00000000">
            <w:pPr>
              <w:spacing w:before="80" w:line="240" w:lineRule="exact"/>
              <w:jc w:val="center"/>
              <w:rPr>
                <w:rFonts w:hint="eastAsia"/>
                <w:sz w:val="22"/>
              </w:rPr>
            </w:pPr>
            <w:r>
              <w:rPr>
                <w:rFonts w:hint="eastAsia"/>
                <w:sz w:val="22"/>
              </w:rPr>
              <w:t>62.5</w:t>
            </w:r>
          </w:p>
        </w:tc>
      </w:tr>
      <w:tr w:rsidR="00000000">
        <w:tblPrEx>
          <w:tblCellMar>
            <w:top w:w="0" w:type="dxa"/>
            <w:bottom w:w="0" w:type="dxa"/>
          </w:tblCellMar>
        </w:tblPrEx>
        <w:tc>
          <w:tcPr>
            <w:tcW w:w="2392" w:type="dxa"/>
          </w:tcPr>
          <w:p w:rsidR="00000000" w:rsidRDefault="00000000">
            <w:pPr>
              <w:spacing w:before="80" w:line="240" w:lineRule="exact"/>
              <w:rPr>
                <w:rFonts w:hint="eastAsia"/>
                <w:sz w:val="22"/>
              </w:rPr>
            </w:pPr>
          </w:p>
        </w:tc>
        <w:tc>
          <w:tcPr>
            <w:tcW w:w="2392" w:type="dxa"/>
          </w:tcPr>
          <w:p w:rsidR="00000000" w:rsidRDefault="00000000">
            <w:pPr>
              <w:spacing w:before="80" w:line="240" w:lineRule="exact"/>
              <w:ind w:right="964"/>
              <w:jc w:val="right"/>
              <w:rPr>
                <w:rFonts w:hint="eastAsia"/>
                <w:sz w:val="22"/>
              </w:rPr>
            </w:pPr>
            <w:r>
              <w:rPr>
                <w:rFonts w:hint="eastAsia"/>
                <w:sz w:val="22"/>
              </w:rPr>
              <w:t>6</w:t>
            </w:r>
          </w:p>
        </w:tc>
        <w:tc>
          <w:tcPr>
            <w:tcW w:w="2393" w:type="dxa"/>
          </w:tcPr>
          <w:p w:rsidR="00000000" w:rsidRDefault="00000000">
            <w:pPr>
              <w:spacing w:before="80" w:line="240" w:lineRule="exact"/>
              <w:jc w:val="center"/>
              <w:rPr>
                <w:rFonts w:hint="eastAsia"/>
                <w:sz w:val="22"/>
              </w:rPr>
            </w:pPr>
            <w:r>
              <w:rPr>
                <w:rFonts w:hint="eastAsia"/>
                <w:sz w:val="22"/>
              </w:rPr>
              <w:t>公</w:t>
            </w:r>
            <w:r>
              <w:rPr>
                <w:rFonts w:hint="eastAsia"/>
                <w:sz w:val="22"/>
              </w:rPr>
              <w:t xml:space="preserve"> </w:t>
            </w:r>
            <w:r>
              <w:rPr>
                <w:rFonts w:hint="eastAsia"/>
                <w:sz w:val="22"/>
              </w:rPr>
              <w:t>共</w:t>
            </w:r>
          </w:p>
        </w:tc>
        <w:tc>
          <w:tcPr>
            <w:tcW w:w="2393" w:type="dxa"/>
          </w:tcPr>
          <w:p w:rsidR="00000000" w:rsidRDefault="00000000">
            <w:pPr>
              <w:spacing w:before="80" w:line="240" w:lineRule="exact"/>
              <w:jc w:val="center"/>
              <w:rPr>
                <w:rFonts w:hint="eastAsia"/>
                <w:sz w:val="22"/>
              </w:rPr>
            </w:pPr>
            <w:r>
              <w:rPr>
                <w:rFonts w:hint="eastAsia"/>
                <w:sz w:val="22"/>
                <w:szCs w:val="22"/>
              </w:rPr>
              <w:t>20.0</w:t>
            </w:r>
          </w:p>
        </w:tc>
      </w:tr>
      <w:tr w:rsidR="00000000">
        <w:tblPrEx>
          <w:tblCellMar>
            <w:top w:w="0" w:type="dxa"/>
            <w:bottom w:w="0" w:type="dxa"/>
          </w:tblCellMar>
        </w:tblPrEx>
        <w:tc>
          <w:tcPr>
            <w:tcW w:w="2392" w:type="dxa"/>
          </w:tcPr>
          <w:p w:rsidR="00000000" w:rsidRDefault="00000000">
            <w:pPr>
              <w:spacing w:before="80" w:line="240" w:lineRule="exact"/>
              <w:rPr>
                <w:rFonts w:hint="eastAsia"/>
                <w:sz w:val="22"/>
              </w:rPr>
            </w:pPr>
            <w:r>
              <w:rPr>
                <w:sz w:val="22"/>
                <w:szCs w:val="22"/>
              </w:rPr>
              <w:t>Pakrac</w:t>
            </w:r>
          </w:p>
        </w:tc>
        <w:tc>
          <w:tcPr>
            <w:tcW w:w="2392" w:type="dxa"/>
          </w:tcPr>
          <w:p w:rsidR="00000000" w:rsidRDefault="00000000">
            <w:pPr>
              <w:spacing w:before="80" w:line="240" w:lineRule="exact"/>
              <w:ind w:right="964"/>
              <w:jc w:val="right"/>
              <w:rPr>
                <w:rFonts w:hint="eastAsia"/>
                <w:sz w:val="22"/>
              </w:rPr>
            </w:pPr>
            <w:r>
              <w:rPr>
                <w:sz w:val="22"/>
                <w:szCs w:val="22"/>
              </w:rPr>
              <w:t>58</w:t>
            </w:r>
          </w:p>
        </w:tc>
        <w:tc>
          <w:tcPr>
            <w:tcW w:w="2393" w:type="dxa"/>
          </w:tcPr>
          <w:p w:rsidR="00000000" w:rsidRDefault="00000000">
            <w:pPr>
              <w:spacing w:before="80" w:line="240" w:lineRule="exact"/>
              <w:jc w:val="center"/>
              <w:rPr>
                <w:rFonts w:hint="eastAsia"/>
                <w:sz w:val="22"/>
              </w:rPr>
            </w:pPr>
            <w:r>
              <w:rPr>
                <w:rFonts w:hint="eastAsia"/>
                <w:sz w:val="22"/>
              </w:rPr>
              <w:t>私</w:t>
            </w:r>
            <w:r>
              <w:rPr>
                <w:rFonts w:hint="eastAsia"/>
                <w:sz w:val="22"/>
              </w:rPr>
              <w:t xml:space="preserve"> </w:t>
            </w:r>
            <w:r>
              <w:rPr>
                <w:rFonts w:hint="eastAsia"/>
                <w:sz w:val="22"/>
              </w:rPr>
              <w:t>人</w:t>
            </w:r>
          </w:p>
        </w:tc>
        <w:tc>
          <w:tcPr>
            <w:tcW w:w="2393" w:type="dxa"/>
          </w:tcPr>
          <w:p w:rsidR="00000000" w:rsidRDefault="00000000">
            <w:pPr>
              <w:spacing w:before="80" w:line="240" w:lineRule="exact"/>
              <w:jc w:val="center"/>
              <w:rPr>
                <w:rFonts w:hint="eastAsia"/>
                <w:sz w:val="22"/>
              </w:rPr>
            </w:pPr>
            <w:r>
              <w:rPr>
                <w:sz w:val="22"/>
                <w:szCs w:val="22"/>
              </w:rPr>
              <w:t>66.3</w:t>
            </w:r>
          </w:p>
        </w:tc>
      </w:tr>
      <w:tr w:rsidR="00000000">
        <w:tblPrEx>
          <w:tblCellMar>
            <w:top w:w="0" w:type="dxa"/>
            <w:bottom w:w="0" w:type="dxa"/>
          </w:tblCellMar>
        </w:tblPrEx>
        <w:tc>
          <w:tcPr>
            <w:tcW w:w="2392" w:type="dxa"/>
          </w:tcPr>
          <w:p w:rsidR="00000000" w:rsidRDefault="00000000">
            <w:pPr>
              <w:spacing w:before="80" w:line="240" w:lineRule="exact"/>
              <w:rPr>
                <w:rFonts w:hint="eastAsia"/>
                <w:sz w:val="22"/>
              </w:rPr>
            </w:pPr>
          </w:p>
        </w:tc>
        <w:tc>
          <w:tcPr>
            <w:tcW w:w="2392" w:type="dxa"/>
          </w:tcPr>
          <w:p w:rsidR="00000000" w:rsidRDefault="00000000">
            <w:pPr>
              <w:spacing w:before="80" w:line="240" w:lineRule="exact"/>
              <w:ind w:right="964"/>
              <w:jc w:val="right"/>
              <w:rPr>
                <w:rFonts w:hint="eastAsia"/>
                <w:sz w:val="22"/>
              </w:rPr>
            </w:pPr>
            <w:r>
              <w:rPr>
                <w:rFonts w:hint="eastAsia"/>
                <w:sz w:val="22"/>
              </w:rPr>
              <w:t>12</w:t>
            </w:r>
          </w:p>
        </w:tc>
        <w:tc>
          <w:tcPr>
            <w:tcW w:w="2393" w:type="dxa"/>
          </w:tcPr>
          <w:p w:rsidR="00000000" w:rsidRDefault="00000000">
            <w:pPr>
              <w:spacing w:before="80" w:line="240" w:lineRule="exact"/>
              <w:jc w:val="center"/>
              <w:rPr>
                <w:rFonts w:hint="eastAsia"/>
                <w:sz w:val="22"/>
              </w:rPr>
            </w:pPr>
            <w:r>
              <w:rPr>
                <w:rFonts w:hint="eastAsia"/>
                <w:sz w:val="22"/>
              </w:rPr>
              <w:t>公</w:t>
            </w:r>
            <w:r>
              <w:rPr>
                <w:rFonts w:hint="eastAsia"/>
                <w:sz w:val="22"/>
              </w:rPr>
              <w:t xml:space="preserve"> </w:t>
            </w:r>
            <w:r>
              <w:rPr>
                <w:rFonts w:hint="eastAsia"/>
                <w:sz w:val="22"/>
              </w:rPr>
              <w:t>共</w:t>
            </w:r>
          </w:p>
        </w:tc>
        <w:tc>
          <w:tcPr>
            <w:tcW w:w="2393" w:type="dxa"/>
          </w:tcPr>
          <w:p w:rsidR="00000000" w:rsidRDefault="00000000">
            <w:pPr>
              <w:spacing w:before="80" w:line="240" w:lineRule="exact"/>
              <w:jc w:val="center"/>
              <w:rPr>
                <w:rFonts w:hint="eastAsia"/>
                <w:sz w:val="22"/>
                <w:lang w:val="fr-CH"/>
              </w:rPr>
            </w:pPr>
            <w:r>
              <w:rPr>
                <w:rFonts w:hint="eastAsia"/>
                <w:sz w:val="22"/>
                <w:lang w:val="fr-CH"/>
              </w:rPr>
              <w:t>14.5</w:t>
            </w:r>
          </w:p>
        </w:tc>
      </w:tr>
      <w:tr w:rsidR="00000000">
        <w:tblPrEx>
          <w:tblCellMar>
            <w:top w:w="0" w:type="dxa"/>
            <w:bottom w:w="0" w:type="dxa"/>
          </w:tblCellMar>
        </w:tblPrEx>
        <w:tc>
          <w:tcPr>
            <w:tcW w:w="2392" w:type="dxa"/>
          </w:tcPr>
          <w:p w:rsidR="00000000" w:rsidRDefault="00000000">
            <w:pPr>
              <w:spacing w:before="80" w:line="240" w:lineRule="exact"/>
              <w:rPr>
                <w:rFonts w:hint="eastAsia"/>
                <w:sz w:val="22"/>
                <w:lang w:val="fr-CH"/>
              </w:rPr>
            </w:pPr>
            <w:r>
              <w:rPr>
                <w:sz w:val="22"/>
                <w:szCs w:val="22"/>
                <w:lang w:val="fr-CH"/>
              </w:rPr>
              <w:t>Daruvar</w:t>
            </w:r>
          </w:p>
        </w:tc>
        <w:tc>
          <w:tcPr>
            <w:tcW w:w="2392" w:type="dxa"/>
          </w:tcPr>
          <w:p w:rsidR="00000000" w:rsidRDefault="00000000">
            <w:pPr>
              <w:spacing w:before="80" w:line="240" w:lineRule="exact"/>
              <w:ind w:right="964"/>
              <w:jc w:val="right"/>
              <w:rPr>
                <w:rFonts w:hint="eastAsia"/>
                <w:sz w:val="22"/>
                <w:lang w:val="fr-CH"/>
              </w:rPr>
            </w:pPr>
            <w:r>
              <w:rPr>
                <w:rFonts w:hint="eastAsia"/>
                <w:sz w:val="22"/>
                <w:lang w:val="fr-CH"/>
              </w:rPr>
              <w:t>62</w:t>
            </w:r>
          </w:p>
        </w:tc>
        <w:tc>
          <w:tcPr>
            <w:tcW w:w="2393" w:type="dxa"/>
          </w:tcPr>
          <w:p w:rsidR="00000000" w:rsidRDefault="00000000">
            <w:pPr>
              <w:spacing w:before="80" w:line="240" w:lineRule="exact"/>
              <w:jc w:val="center"/>
              <w:rPr>
                <w:rFonts w:hint="eastAsia"/>
                <w:sz w:val="22"/>
                <w:lang w:val="fr-CH"/>
              </w:rPr>
            </w:pPr>
            <w:r>
              <w:rPr>
                <w:rFonts w:hint="eastAsia"/>
                <w:sz w:val="22"/>
              </w:rPr>
              <w:t>私</w:t>
            </w:r>
            <w:r>
              <w:rPr>
                <w:rFonts w:hint="eastAsia"/>
                <w:sz w:val="22"/>
                <w:lang w:val="fr-CH"/>
              </w:rPr>
              <w:t xml:space="preserve"> </w:t>
            </w:r>
            <w:r>
              <w:rPr>
                <w:rFonts w:hint="eastAsia"/>
                <w:sz w:val="22"/>
              </w:rPr>
              <w:t>人</w:t>
            </w:r>
          </w:p>
        </w:tc>
        <w:tc>
          <w:tcPr>
            <w:tcW w:w="2393" w:type="dxa"/>
          </w:tcPr>
          <w:p w:rsidR="00000000" w:rsidRDefault="00000000">
            <w:pPr>
              <w:spacing w:before="80" w:line="240" w:lineRule="exact"/>
              <w:jc w:val="center"/>
              <w:rPr>
                <w:rFonts w:hint="eastAsia"/>
                <w:sz w:val="22"/>
                <w:lang w:val="fr-CH"/>
              </w:rPr>
            </w:pPr>
            <w:r>
              <w:rPr>
                <w:sz w:val="22"/>
                <w:szCs w:val="22"/>
                <w:lang w:val="fr-CH"/>
              </w:rPr>
              <w:t>80.4</w:t>
            </w:r>
          </w:p>
        </w:tc>
      </w:tr>
      <w:tr w:rsidR="00000000">
        <w:tblPrEx>
          <w:tblCellMar>
            <w:top w:w="0" w:type="dxa"/>
            <w:bottom w:w="0" w:type="dxa"/>
          </w:tblCellMar>
        </w:tblPrEx>
        <w:tc>
          <w:tcPr>
            <w:tcW w:w="2392" w:type="dxa"/>
          </w:tcPr>
          <w:p w:rsidR="00000000" w:rsidRDefault="00000000">
            <w:pPr>
              <w:spacing w:before="80" w:line="240" w:lineRule="exact"/>
              <w:rPr>
                <w:rFonts w:hint="eastAsia"/>
                <w:sz w:val="22"/>
                <w:lang w:val="fr-CH"/>
              </w:rPr>
            </w:pPr>
          </w:p>
        </w:tc>
        <w:tc>
          <w:tcPr>
            <w:tcW w:w="2392" w:type="dxa"/>
          </w:tcPr>
          <w:p w:rsidR="00000000" w:rsidRDefault="00000000">
            <w:pPr>
              <w:spacing w:before="80" w:line="240" w:lineRule="exact"/>
              <w:ind w:right="964"/>
              <w:jc w:val="right"/>
              <w:rPr>
                <w:rFonts w:hint="eastAsia"/>
                <w:sz w:val="22"/>
                <w:lang w:val="fr-CH"/>
              </w:rPr>
            </w:pPr>
            <w:r>
              <w:rPr>
                <w:rFonts w:hint="eastAsia"/>
                <w:sz w:val="22"/>
                <w:lang w:val="fr-CH"/>
              </w:rPr>
              <w:t>7</w:t>
            </w:r>
          </w:p>
        </w:tc>
        <w:tc>
          <w:tcPr>
            <w:tcW w:w="2393" w:type="dxa"/>
          </w:tcPr>
          <w:p w:rsidR="00000000" w:rsidRDefault="00000000">
            <w:pPr>
              <w:spacing w:before="80" w:line="240" w:lineRule="exact"/>
              <w:jc w:val="center"/>
              <w:rPr>
                <w:rFonts w:hint="eastAsia"/>
                <w:sz w:val="22"/>
                <w:lang w:val="fr-CH"/>
              </w:rPr>
            </w:pPr>
            <w:r>
              <w:rPr>
                <w:rFonts w:hint="eastAsia"/>
                <w:sz w:val="22"/>
              </w:rPr>
              <w:t>公</w:t>
            </w:r>
            <w:r>
              <w:rPr>
                <w:rFonts w:hint="eastAsia"/>
                <w:sz w:val="22"/>
              </w:rPr>
              <w:t xml:space="preserve"> </w:t>
            </w:r>
            <w:r>
              <w:rPr>
                <w:rFonts w:hint="eastAsia"/>
                <w:sz w:val="22"/>
              </w:rPr>
              <w:t>共</w:t>
            </w:r>
          </w:p>
        </w:tc>
        <w:tc>
          <w:tcPr>
            <w:tcW w:w="2393" w:type="dxa"/>
          </w:tcPr>
          <w:p w:rsidR="00000000" w:rsidRDefault="00000000">
            <w:pPr>
              <w:spacing w:before="80" w:line="240" w:lineRule="exact"/>
              <w:jc w:val="center"/>
              <w:rPr>
                <w:rFonts w:hint="eastAsia"/>
                <w:sz w:val="22"/>
                <w:lang w:val="en-GB"/>
              </w:rPr>
            </w:pPr>
            <w:r>
              <w:rPr>
                <w:sz w:val="22"/>
                <w:szCs w:val="22"/>
                <w:lang w:val="en-GB"/>
              </w:rPr>
              <w:t>25.0</w:t>
            </w:r>
          </w:p>
        </w:tc>
      </w:tr>
    </w:tbl>
    <w:p w:rsidR="00000000" w:rsidRDefault="00000000"/>
    <w:p w:rsidR="00000000" w:rsidRDefault="00000000">
      <w:pPr>
        <w:spacing w:after="240"/>
      </w:pPr>
      <w:r>
        <w:rPr>
          <w:rFonts w:hint="eastAsia"/>
        </w:rPr>
        <w:tab/>
        <w:t xml:space="preserve">352.  </w:t>
      </w:r>
      <w:r>
        <w:rPr>
          <w:rFonts w:hint="eastAsia"/>
        </w:rPr>
        <w:t>克罗地亚被解放地区的饮水质量尤其低于标准。随着对现有建筑和家用废水排放系统进行结构性修缮，当地饮水的污染将大幅度减少。</w:t>
      </w:r>
    </w:p>
    <w:p w:rsidR="00000000" w:rsidRDefault="00000000">
      <w:pPr>
        <w:pStyle w:val="Heading3"/>
      </w:pPr>
      <w:r>
        <w:rPr>
          <w:rFonts w:hint="eastAsia"/>
        </w:rPr>
        <w:t>第</w:t>
      </w:r>
      <w:r>
        <w:t xml:space="preserve"> </w:t>
      </w:r>
      <w:r>
        <w:rPr>
          <w:rFonts w:hint="eastAsia"/>
        </w:rPr>
        <w:t>12</w:t>
      </w:r>
      <w:r>
        <w:t xml:space="preserve"> </w:t>
      </w:r>
      <w:r>
        <w:rPr>
          <w:rFonts w:hint="eastAsia"/>
        </w:rPr>
        <w:t>条</w:t>
      </w:r>
    </w:p>
    <w:p w:rsidR="00000000" w:rsidRDefault="00000000">
      <w:r>
        <w:rPr>
          <w:rFonts w:hint="eastAsia"/>
        </w:rPr>
        <w:tab/>
        <w:t xml:space="preserve">353.  </w:t>
      </w:r>
      <w:r>
        <w:rPr>
          <w:rFonts w:hint="eastAsia"/>
        </w:rPr>
        <w:t>克罗地亚公民可在下列立法框架内享受《公约》这一条规定的权利：</w:t>
      </w:r>
    </w:p>
    <w:p w:rsidR="00000000" w:rsidRDefault="00000000">
      <w:pPr>
        <w:pStyle w:val="a"/>
        <w:ind w:left="1530"/>
      </w:pPr>
      <w:r>
        <w:rPr>
          <w:rFonts w:hint="eastAsia"/>
        </w:rPr>
        <w:t>健康保护法</w:t>
      </w:r>
      <w:r>
        <w:rPr>
          <w:rFonts w:hint="eastAsia"/>
        </w:rPr>
        <w:t>(</w:t>
      </w:r>
      <w:r>
        <w:rPr>
          <w:rFonts w:hint="eastAsia"/>
        </w:rPr>
        <w:t>政府公报，第</w:t>
      </w:r>
      <w:r>
        <w:rPr>
          <w:rFonts w:hint="eastAsia"/>
        </w:rPr>
        <w:t>11/94</w:t>
      </w:r>
      <w:r>
        <w:rPr>
          <w:rFonts w:hint="eastAsia"/>
        </w:rPr>
        <w:t>、</w:t>
      </w:r>
      <w:r>
        <w:rPr>
          <w:rFonts w:hint="eastAsia"/>
        </w:rPr>
        <w:t>75/95</w:t>
      </w:r>
      <w:r>
        <w:rPr>
          <w:rFonts w:hint="eastAsia"/>
        </w:rPr>
        <w:t>、</w:t>
      </w:r>
      <w:r>
        <w:rPr>
          <w:rFonts w:hint="eastAsia"/>
        </w:rPr>
        <w:t>55/96</w:t>
      </w:r>
      <w:r>
        <w:rPr>
          <w:rFonts w:hint="eastAsia"/>
        </w:rPr>
        <w:t>、</w:t>
      </w:r>
      <w:r>
        <w:rPr>
          <w:rFonts w:hint="eastAsia"/>
        </w:rPr>
        <w:t>1/97</w:t>
      </w:r>
      <w:r>
        <w:rPr>
          <w:rFonts w:hint="eastAsia"/>
        </w:rPr>
        <w:t>号－修订本</w:t>
      </w:r>
      <w:r>
        <w:rPr>
          <w:rFonts w:hint="eastAsia"/>
        </w:rPr>
        <w:t>)</w:t>
      </w:r>
      <w:r>
        <w:rPr>
          <w:rFonts w:hint="eastAsia"/>
        </w:rPr>
        <w:t>和保护精神紊乱者的法律第</w:t>
      </w:r>
      <w:r>
        <w:rPr>
          <w:rFonts w:hint="eastAsia"/>
        </w:rPr>
        <w:t>96</w:t>
      </w:r>
      <w:r>
        <w:rPr>
          <w:rFonts w:hint="eastAsia"/>
        </w:rPr>
        <w:t>条</w:t>
      </w:r>
      <w:r>
        <w:rPr>
          <w:rFonts w:hint="eastAsia"/>
        </w:rPr>
        <w:t>(</w:t>
      </w:r>
      <w:r>
        <w:rPr>
          <w:rFonts w:hint="eastAsia"/>
        </w:rPr>
        <w:t>政府公报，第</w:t>
      </w:r>
      <w:r>
        <w:rPr>
          <w:rFonts w:hint="eastAsia"/>
        </w:rPr>
        <w:t>111/97</w:t>
      </w:r>
      <w:r>
        <w:rPr>
          <w:rFonts w:hint="eastAsia"/>
        </w:rPr>
        <w:t>号</w:t>
      </w:r>
      <w:r>
        <w:rPr>
          <w:rFonts w:hint="eastAsia"/>
        </w:rPr>
        <w:t>)</w:t>
      </w:r>
      <w:r>
        <w:rPr>
          <w:rFonts w:hint="eastAsia"/>
        </w:rPr>
        <w:t>；</w:t>
      </w:r>
    </w:p>
    <w:p w:rsidR="00000000" w:rsidRDefault="00000000">
      <w:pPr>
        <w:pStyle w:val="a"/>
        <w:ind w:left="1530"/>
      </w:pPr>
      <w:r>
        <w:rPr>
          <w:rFonts w:hint="eastAsia"/>
        </w:rPr>
        <w:t>健康保险法</w:t>
      </w:r>
      <w:r>
        <w:rPr>
          <w:rFonts w:hint="eastAsia"/>
        </w:rPr>
        <w:t>(</w:t>
      </w:r>
      <w:r>
        <w:rPr>
          <w:rFonts w:hint="eastAsia"/>
        </w:rPr>
        <w:t>政府公报，第</w:t>
      </w:r>
      <w:r>
        <w:rPr>
          <w:rFonts w:hint="eastAsia"/>
        </w:rPr>
        <w:t>1/97</w:t>
      </w:r>
      <w:r>
        <w:rPr>
          <w:rFonts w:hint="eastAsia"/>
        </w:rPr>
        <w:t>号，修订本、第</w:t>
      </w:r>
      <w:r>
        <w:rPr>
          <w:rFonts w:hint="eastAsia"/>
        </w:rPr>
        <w:t>109/97</w:t>
      </w:r>
      <w:r>
        <w:rPr>
          <w:rFonts w:hint="eastAsia"/>
        </w:rPr>
        <w:t>、</w:t>
      </w:r>
      <w:r>
        <w:rPr>
          <w:rFonts w:hint="eastAsia"/>
        </w:rPr>
        <w:t>13/98</w:t>
      </w:r>
      <w:r>
        <w:rPr>
          <w:rFonts w:hint="eastAsia"/>
        </w:rPr>
        <w:t>、</w:t>
      </w:r>
      <w:r>
        <w:rPr>
          <w:rFonts w:hint="eastAsia"/>
        </w:rPr>
        <w:t>88/98</w:t>
      </w:r>
      <w:r>
        <w:rPr>
          <w:rFonts w:hint="eastAsia"/>
        </w:rPr>
        <w:t>、</w:t>
      </w:r>
      <w:r>
        <w:rPr>
          <w:rFonts w:hint="eastAsia"/>
        </w:rPr>
        <w:t>10/99</w:t>
      </w:r>
      <w:r>
        <w:rPr>
          <w:rFonts w:hint="eastAsia"/>
        </w:rPr>
        <w:t>、</w:t>
      </w:r>
      <w:r>
        <w:rPr>
          <w:rFonts w:hint="eastAsia"/>
        </w:rPr>
        <w:t>34/99</w:t>
      </w:r>
      <w:r>
        <w:rPr>
          <w:rFonts w:hint="eastAsia"/>
        </w:rPr>
        <w:t>号</w:t>
      </w:r>
      <w:r>
        <w:rPr>
          <w:rFonts w:hint="eastAsia"/>
        </w:rPr>
        <w:t>)</w:t>
      </w:r>
      <w:r>
        <w:rPr>
          <w:rFonts w:hint="eastAsia"/>
        </w:rPr>
        <w:t>；</w:t>
      </w:r>
    </w:p>
    <w:p w:rsidR="00000000" w:rsidRDefault="00000000">
      <w:pPr>
        <w:pStyle w:val="a"/>
        <w:ind w:left="1530"/>
      </w:pPr>
      <w:r>
        <w:rPr>
          <w:rFonts w:hint="eastAsia"/>
        </w:rPr>
        <w:t>在克罗地亚共和国的外国人医疗保险法</w:t>
      </w:r>
      <w:r>
        <w:rPr>
          <w:rFonts w:hint="eastAsia"/>
        </w:rPr>
        <w:t>(</w:t>
      </w:r>
      <w:r>
        <w:rPr>
          <w:rFonts w:hint="eastAsia"/>
        </w:rPr>
        <w:t>政府公报，第</w:t>
      </w:r>
      <w:r>
        <w:rPr>
          <w:rFonts w:hint="eastAsia"/>
        </w:rPr>
        <w:t>114/97</w:t>
      </w:r>
      <w:r>
        <w:rPr>
          <w:rFonts w:hint="eastAsia"/>
        </w:rPr>
        <w:t>号</w:t>
      </w:r>
      <w:r>
        <w:rPr>
          <w:rFonts w:hint="eastAsia"/>
        </w:rPr>
        <w:t>)</w:t>
      </w:r>
      <w:r>
        <w:rPr>
          <w:rFonts w:hint="eastAsia"/>
        </w:rPr>
        <w:t>；</w:t>
      </w:r>
    </w:p>
    <w:p w:rsidR="00000000" w:rsidRDefault="00000000">
      <w:pPr>
        <w:pStyle w:val="a"/>
        <w:ind w:left="1530"/>
      </w:pPr>
      <w:r>
        <w:rPr>
          <w:rFonts w:hint="eastAsia"/>
        </w:rPr>
        <w:t>药物和医疗产品法</w:t>
      </w:r>
      <w:r>
        <w:rPr>
          <w:rFonts w:hint="eastAsia"/>
        </w:rPr>
        <w:t>(</w:t>
      </w:r>
      <w:r>
        <w:rPr>
          <w:rFonts w:hint="eastAsia"/>
        </w:rPr>
        <w:t>政府公报，第</w:t>
      </w:r>
      <w:r>
        <w:rPr>
          <w:rFonts w:hint="eastAsia"/>
        </w:rPr>
        <w:t>124/97</w:t>
      </w:r>
      <w:r>
        <w:rPr>
          <w:rFonts w:hint="eastAsia"/>
        </w:rPr>
        <w:t>号</w:t>
      </w:r>
      <w:r>
        <w:rPr>
          <w:rFonts w:hint="eastAsia"/>
        </w:rPr>
        <w:t>)</w:t>
      </w:r>
      <w:r>
        <w:rPr>
          <w:rFonts w:hint="eastAsia"/>
        </w:rPr>
        <w:t>；</w:t>
      </w:r>
    </w:p>
    <w:p w:rsidR="00000000" w:rsidRDefault="00000000">
      <w:pPr>
        <w:pStyle w:val="a"/>
        <w:ind w:left="1530"/>
      </w:pPr>
      <w:r>
        <w:rPr>
          <w:rFonts w:hint="eastAsia"/>
        </w:rPr>
        <w:t>防止电离辐射的保护法</w:t>
      </w:r>
      <w:r>
        <w:rPr>
          <w:rFonts w:hint="eastAsia"/>
        </w:rPr>
        <w:t>(</w:t>
      </w:r>
      <w:r>
        <w:rPr>
          <w:rFonts w:hint="eastAsia"/>
        </w:rPr>
        <w:t>政府公报，第</w:t>
      </w:r>
      <w:r>
        <w:rPr>
          <w:rFonts w:hint="eastAsia"/>
        </w:rPr>
        <w:t>27/99</w:t>
      </w:r>
      <w:r>
        <w:rPr>
          <w:rFonts w:hint="eastAsia"/>
        </w:rPr>
        <w:t>号</w:t>
      </w:r>
      <w:r>
        <w:rPr>
          <w:rFonts w:hint="eastAsia"/>
        </w:rPr>
        <w:t>)</w:t>
      </w:r>
      <w:r>
        <w:rPr>
          <w:rFonts w:hint="eastAsia"/>
        </w:rPr>
        <w:t>；</w:t>
      </w:r>
    </w:p>
    <w:p w:rsidR="00000000" w:rsidRDefault="00000000">
      <w:pPr>
        <w:pStyle w:val="a"/>
        <w:ind w:left="1530"/>
      </w:pPr>
      <w:r>
        <w:rPr>
          <w:rFonts w:hint="eastAsia"/>
        </w:rPr>
        <w:t>卫生检疫法（政府公报，第</w:t>
      </w:r>
      <w:r>
        <w:rPr>
          <w:rFonts w:hint="eastAsia"/>
        </w:rPr>
        <w:t>27/99</w:t>
      </w:r>
      <w:r>
        <w:rPr>
          <w:rFonts w:hint="eastAsia"/>
        </w:rPr>
        <w:t>号）；</w:t>
      </w:r>
    </w:p>
    <w:p w:rsidR="00000000" w:rsidRDefault="00000000">
      <w:pPr>
        <w:pStyle w:val="a"/>
        <w:ind w:left="1530"/>
      </w:pPr>
      <w:r>
        <w:rPr>
          <w:rFonts w:hint="eastAsia"/>
        </w:rPr>
        <w:t>毒素法</w:t>
      </w:r>
      <w:r>
        <w:rPr>
          <w:rFonts w:hint="eastAsia"/>
        </w:rPr>
        <w:t>(</w:t>
      </w:r>
      <w:r>
        <w:rPr>
          <w:rFonts w:hint="eastAsia"/>
        </w:rPr>
        <w:t>政府公报，第</w:t>
      </w:r>
      <w:r>
        <w:rPr>
          <w:rFonts w:hint="eastAsia"/>
        </w:rPr>
        <w:t>27/99</w:t>
      </w:r>
      <w:r>
        <w:rPr>
          <w:rFonts w:hint="eastAsia"/>
        </w:rPr>
        <w:t>号</w:t>
      </w:r>
      <w:r>
        <w:rPr>
          <w:rFonts w:hint="eastAsia"/>
        </w:rPr>
        <w:t>)</w:t>
      </w:r>
      <w:r>
        <w:rPr>
          <w:rFonts w:hint="eastAsia"/>
        </w:rPr>
        <w:t>和根据上述法律通过的附加法律。</w:t>
      </w:r>
    </w:p>
    <w:p w:rsidR="00000000" w:rsidRDefault="00000000">
      <w:r>
        <w:rPr>
          <w:rFonts w:hint="eastAsia"/>
        </w:rPr>
        <w:tab/>
        <w:t xml:space="preserve">354.  </w:t>
      </w:r>
      <w:r>
        <w:rPr>
          <w:rFonts w:hint="eastAsia"/>
        </w:rPr>
        <w:t>通过的条例符合国际法，国际公约和决议规定的标准、符合欧洲和世界惯例和克罗地亚共和国的法律制度。应该说初级医疗保健私有化进程即将结束。</w:t>
      </w:r>
      <w:r>
        <w:rPr>
          <w:rFonts w:hint="eastAsia"/>
        </w:rPr>
        <w:tab/>
        <w:t xml:space="preserve">355.  </w:t>
      </w:r>
      <w:r>
        <w:rPr>
          <w:rFonts w:hint="eastAsia"/>
        </w:rPr>
        <w:t>在过去被占领的地区，为了改善医疗保健部门提供的服务已经修缮或重建了所有建筑并购买了医疗和非医疗设备。</w:t>
      </w:r>
    </w:p>
    <w:p w:rsidR="00000000" w:rsidRDefault="00000000">
      <w:r>
        <w:rPr>
          <w:rFonts w:hint="eastAsia"/>
        </w:rPr>
        <w:tab/>
        <w:t xml:space="preserve">356.  </w:t>
      </w:r>
      <w:r>
        <w:rPr>
          <w:rFonts w:hint="eastAsia"/>
        </w:rPr>
        <w:t>我们应该说克罗地亚共和国其他地区也在医疗保健机构框架内为提供医疗保健服务的目的恢复和盖建大楼或安装设备，并尤其重视改善克罗地亚岛屿组织和提供医疗保健的条件。</w:t>
      </w:r>
    </w:p>
    <w:p w:rsidR="00000000" w:rsidRDefault="00000000">
      <w:r>
        <w:rPr>
          <w:rFonts w:hint="eastAsia"/>
        </w:rPr>
        <w:tab/>
        <w:t xml:space="preserve">357.  </w:t>
      </w:r>
      <w:r>
        <w:rPr>
          <w:rFonts w:hint="eastAsia"/>
        </w:rPr>
        <w:t>克罗地亚根据世界卫生组织的办法通过若干指标定期调查其人口的健康状况并基本上一年一次将调查结果送交设在哥本哈根的区域办事处。居民的健康保护和健康状况并不完全取决于医疗保健制度的运作，也不能脱离人口、经济和生态指标来看待。</w:t>
      </w:r>
    </w:p>
    <w:p w:rsidR="00000000" w:rsidRDefault="00000000">
      <w:r>
        <w:rPr>
          <w:rFonts w:hint="eastAsia"/>
        </w:rPr>
        <w:tab/>
        <w:t xml:space="preserve">358.  </w:t>
      </w:r>
      <w:r>
        <w:rPr>
          <w:rFonts w:hint="eastAsia"/>
        </w:rPr>
        <w:t>威胁居民健康的基本指标是主要死亡因素和需要谋求医疗援助的最常见病。</w:t>
      </w:r>
    </w:p>
    <w:p w:rsidR="00000000" w:rsidRDefault="00000000">
      <w:r>
        <w:rPr>
          <w:rFonts w:hint="eastAsia"/>
        </w:rPr>
        <w:tab/>
        <w:t>359.  1998</w:t>
      </w:r>
      <w:r>
        <w:rPr>
          <w:rFonts w:hint="eastAsia"/>
        </w:rPr>
        <w:t>年，克罗地亚的死亡人数为</w:t>
      </w:r>
      <w:r>
        <w:rPr>
          <w:rFonts w:hint="eastAsia"/>
        </w:rPr>
        <w:t>52,311</w:t>
      </w:r>
      <w:r>
        <w:rPr>
          <w:rFonts w:hint="eastAsia"/>
        </w:rPr>
        <w:t>人，死亡率为</w:t>
      </w:r>
      <w:r>
        <w:rPr>
          <w:rFonts w:hint="eastAsia"/>
        </w:rPr>
        <w:t>11.6</w:t>
      </w:r>
      <w:r>
        <w:rPr>
          <w:rFonts w:hint="eastAsia"/>
        </w:rPr>
        <w:t>‰。在克罗地亚，体内循环疾病列造成死亡的疾病之首，在所有死亡的因素中占</w:t>
      </w:r>
      <w:r>
        <w:rPr>
          <w:rFonts w:hint="eastAsia"/>
        </w:rPr>
        <w:t>50%</w:t>
      </w:r>
      <w:r>
        <w:rPr>
          <w:rFonts w:hint="eastAsia"/>
        </w:rPr>
        <w:t>以上。其次是肿瘤，占</w:t>
      </w:r>
      <w:r>
        <w:rPr>
          <w:rFonts w:hint="eastAsia"/>
        </w:rPr>
        <w:t>20%</w:t>
      </w:r>
      <w:r>
        <w:rPr>
          <w:rFonts w:hint="eastAsia"/>
        </w:rPr>
        <w:t>以上，受伤和中毒占约</w:t>
      </w:r>
      <w:r>
        <w:rPr>
          <w:rFonts w:hint="eastAsia"/>
        </w:rPr>
        <w:t>6%</w:t>
      </w:r>
      <w:r>
        <w:rPr>
          <w:rFonts w:hint="eastAsia"/>
        </w:rPr>
        <w:t>。近几年死因在各年龄组中的次序没有发生根本性变化。</w:t>
      </w:r>
    </w:p>
    <w:p w:rsidR="00000000" w:rsidRDefault="00000000">
      <w:r>
        <w:rPr>
          <w:rFonts w:hint="eastAsia"/>
        </w:rPr>
        <w:tab/>
        <w:t xml:space="preserve">360.  </w:t>
      </w:r>
      <w:r>
        <w:rPr>
          <w:rFonts w:hint="eastAsia"/>
        </w:rPr>
        <w:t>因体内循环疾病造成的死亡以心血管和脑血管疾病最为典型。通过对标准死亡率的分析，人们可以发现，在</w:t>
      </w:r>
      <w:r>
        <w:rPr>
          <w:rFonts w:hint="eastAsia"/>
        </w:rPr>
        <w:t>0-64</w:t>
      </w:r>
      <w:r>
        <w:rPr>
          <w:rFonts w:hint="eastAsia"/>
        </w:rPr>
        <w:t>岁年龄组和所有年龄组中，心脏和血管疾病在</w:t>
      </w:r>
      <w:r>
        <w:rPr>
          <w:rFonts w:hint="eastAsia"/>
        </w:rPr>
        <w:t>1990</w:t>
      </w:r>
      <w:r>
        <w:rPr>
          <w:rFonts w:hint="eastAsia"/>
        </w:rPr>
        <w:t>年比</w:t>
      </w:r>
      <w:r>
        <w:rPr>
          <w:rFonts w:hint="eastAsia"/>
        </w:rPr>
        <w:t>1980</w:t>
      </w:r>
      <w:r>
        <w:rPr>
          <w:rFonts w:hint="eastAsia"/>
        </w:rPr>
        <w:t>年上升。</w:t>
      </w:r>
      <w:r>
        <w:rPr>
          <w:rFonts w:hint="eastAsia"/>
        </w:rPr>
        <w:t>1990</w:t>
      </w:r>
      <w:r>
        <w:rPr>
          <w:rFonts w:hint="eastAsia"/>
        </w:rPr>
        <w:t>年至</w:t>
      </w:r>
      <w:r>
        <w:rPr>
          <w:rFonts w:hint="eastAsia"/>
        </w:rPr>
        <w:t>1995</w:t>
      </w:r>
      <w:r>
        <w:rPr>
          <w:rFonts w:hint="eastAsia"/>
        </w:rPr>
        <w:t>年，所有年龄组和</w:t>
      </w:r>
      <w:r>
        <w:rPr>
          <w:rFonts w:hint="eastAsia"/>
        </w:rPr>
        <w:t>0-64</w:t>
      </w:r>
      <w:r>
        <w:rPr>
          <w:rFonts w:hint="eastAsia"/>
        </w:rPr>
        <w:t>岁年龄组的标准死亡率下降。在脑血管疾病情况中，我们也注意到类似趋势。</w:t>
      </w:r>
    </w:p>
    <w:p w:rsidR="00000000" w:rsidRDefault="00000000">
      <w:r>
        <w:rPr>
          <w:rFonts w:hint="eastAsia"/>
        </w:rPr>
        <w:tab/>
        <w:t xml:space="preserve">361.  </w:t>
      </w:r>
      <w:r>
        <w:rPr>
          <w:rFonts w:hint="eastAsia"/>
        </w:rPr>
        <w:t>我们注意到，在所有年龄组中，心肌缺血病标准死亡率不断上升，而在</w:t>
      </w:r>
      <w:r>
        <w:rPr>
          <w:rFonts w:hint="eastAsia"/>
        </w:rPr>
        <w:t>0-64</w:t>
      </w:r>
      <w:r>
        <w:rPr>
          <w:rFonts w:hint="eastAsia"/>
        </w:rPr>
        <w:t>岁年龄组中，近几年上升趋势已停止</w:t>
      </w:r>
      <w:r>
        <w:rPr>
          <w:rFonts w:hint="eastAsia"/>
        </w:rPr>
        <w:t>(1991</w:t>
      </w:r>
      <w:r>
        <w:rPr>
          <w:rFonts w:hint="eastAsia"/>
        </w:rPr>
        <w:t>年为</w:t>
      </w:r>
      <w:r>
        <w:rPr>
          <w:rFonts w:hint="eastAsia"/>
        </w:rPr>
        <w:t>43/</w:t>
      </w:r>
      <w:r>
        <w:rPr>
          <w:rFonts w:hint="eastAsia"/>
          <w:vertAlign w:val="subscript"/>
        </w:rPr>
        <w:t>100000</w:t>
      </w:r>
      <w:r>
        <w:rPr>
          <w:rFonts w:hint="eastAsia"/>
        </w:rPr>
        <w:t>、</w:t>
      </w:r>
      <w:r>
        <w:rPr>
          <w:rFonts w:hint="eastAsia"/>
        </w:rPr>
        <w:t>1994</w:t>
      </w:r>
      <w:r>
        <w:rPr>
          <w:rFonts w:hint="eastAsia"/>
        </w:rPr>
        <w:t>年为</w:t>
      </w:r>
      <w:r>
        <w:rPr>
          <w:rFonts w:hint="eastAsia"/>
        </w:rPr>
        <w:t>39.2/</w:t>
      </w:r>
      <w:r>
        <w:rPr>
          <w:rFonts w:hint="eastAsia"/>
          <w:vertAlign w:val="subscript"/>
        </w:rPr>
        <w:t>100000</w:t>
      </w:r>
      <w:r>
        <w:rPr>
          <w:rFonts w:hint="eastAsia"/>
        </w:rPr>
        <w:t>、</w:t>
      </w:r>
      <w:r>
        <w:rPr>
          <w:rFonts w:hint="eastAsia"/>
        </w:rPr>
        <w:t>1997</w:t>
      </w:r>
      <w:r>
        <w:rPr>
          <w:rFonts w:hint="eastAsia"/>
        </w:rPr>
        <w:t>年为</w:t>
      </w:r>
      <w:r>
        <w:rPr>
          <w:rFonts w:hint="eastAsia"/>
        </w:rPr>
        <w:t>43.4/</w:t>
      </w:r>
      <w:r>
        <w:rPr>
          <w:rFonts w:hint="eastAsia"/>
          <w:vertAlign w:val="subscript"/>
        </w:rPr>
        <w:t>100000</w:t>
      </w:r>
      <w:r>
        <w:rPr>
          <w:rFonts w:hint="eastAsia"/>
        </w:rPr>
        <w:t>)</w:t>
      </w:r>
      <w:r>
        <w:rPr>
          <w:rFonts w:hint="eastAsia"/>
        </w:rPr>
        <w:t>。</w:t>
      </w:r>
    </w:p>
    <w:p w:rsidR="00000000" w:rsidRDefault="00000000">
      <w:r>
        <w:rPr>
          <w:rFonts w:hint="eastAsia"/>
        </w:rPr>
        <w:tab/>
        <w:t xml:space="preserve">362.  </w:t>
      </w:r>
      <w:r>
        <w:rPr>
          <w:rFonts w:hint="eastAsia"/>
        </w:rPr>
        <w:t>在克罗地亚恶性肿瘤是第二大死因，</w:t>
      </w:r>
      <w:r>
        <w:rPr>
          <w:rFonts w:hint="eastAsia"/>
        </w:rPr>
        <w:t>1998</w:t>
      </w:r>
      <w:r>
        <w:rPr>
          <w:rFonts w:hint="eastAsia"/>
        </w:rPr>
        <w:t>年在死亡率中占</w:t>
      </w:r>
      <w:r>
        <w:rPr>
          <w:rFonts w:hint="eastAsia"/>
        </w:rPr>
        <w:t>21.8%</w:t>
      </w:r>
      <w:r>
        <w:rPr>
          <w:rFonts w:hint="eastAsia"/>
        </w:rPr>
        <w:t>。根据克罗地亚公共健康研究所癌症登记处的数据，</w:t>
      </w:r>
      <w:r>
        <w:rPr>
          <w:rFonts w:hint="eastAsia"/>
        </w:rPr>
        <w:t>1998</w:t>
      </w:r>
      <w:r>
        <w:rPr>
          <w:rFonts w:hint="eastAsia"/>
        </w:rPr>
        <w:t>年，在造成年龄不到</w:t>
      </w:r>
      <w:r>
        <w:rPr>
          <w:rFonts w:hint="eastAsia"/>
        </w:rPr>
        <w:t>65</w:t>
      </w:r>
      <w:r>
        <w:rPr>
          <w:rFonts w:hint="eastAsia"/>
        </w:rPr>
        <w:t>岁的男子死亡的因素中癌症占</w:t>
      </w:r>
      <w:r>
        <w:rPr>
          <w:rFonts w:hint="eastAsia"/>
        </w:rPr>
        <w:t>28%</w:t>
      </w:r>
      <w:r>
        <w:rPr>
          <w:rFonts w:hint="eastAsia"/>
        </w:rPr>
        <w:t>；在妇女中，占</w:t>
      </w:r>
      <w:r>
        <w:rPr>
          <w:rFonts w:hint="eastAsia"/>
        </w:rPr>
        <w:t>38%</w:t>
      </w:r>
      <w:r>
        <w:rPr>
          <w:rFonts w:hint="eastAsia"/>
        </w:rPr>
        <w:t>。不到</w:t>
      </w:r>
      <w:r>
        <w:rPr>
          <w:rFonts w:hint="eastAsia"/>
        </w:rPr>
        <w:t>65</w:t>
      </w:r>
      <w:r>
        <w:rPr>
          <w:rFonts w:hint="eastAsia"/>
        </w:rPr>
        <w:t>岁的男子死于支气管癌、肺癌、胃癌、直肠癌、结肠癌和喉癌的最为常见。造成</w:t>
      </w:r>
      <w:r>
        <w:rPr>
          <w:rFonts w:hint="eastAsia"/>
        </w:rPr>
        <w:t>65</w:t>
      </w:r>
      <w:r>
        <w:rPr>
          <w:rFonts w:hint="eastAsia"/>
        </w:rPr>
        <w:t>岁以下妇女死亡的最常见病是乳腺癌、支气管和肺癌、肠癌、卵巢癌和胃癌。男子支气管和肺癌标准死亡率从</w:t>
      </w:r>
      <w:r>
        <w:rPr>
          <w:rFonts w:hint="eastAsia"/>
        </w:rPr>
        <w:t>1980</w:t>
      </w:r>
      <w:r>
        <w:rPr>
          <w:rFonts w:hint="eastAsia"/>
        </w:rPr>
        <w:t>年的每</w:t>
      </w:r>
      <w:r>
        <w:rPr>
          <w:rFonts w:hint="eastAsia"/>
        </w:rPr>
        <w:t>10</w:t>
      </w:r>
      <w:r>
        <w:rPr>
          <w:rFonts w:hint="eastAsia"/>
        </w:rPr>
        <w:t>万个居民中的</w:t>
      </w:r>
      <w:r>
        <w:rPr>
          <w:rFonts w:hint="eastAsia"/>
        </w:rPr>
        <w:t>73.7</w:t>
      </w:r>
      <w:r>
        <w:rPr>
          <w:rFonts w:hint="eastAsia"/>
        </w:rPr>
        <w:t>上升到</w:t>
      </w:r>
      <w:r>
        <w:rPr>
          <w:rFonts w:hint="eastAsia"/>
        </w:rPr>
        <w:t>1990</w:t>
      </w:r>
      <w:r>
        <w:rPr>
          <w:rFonts w:hint="eastAsia"/>
        </w:rPr>
        <w:t>年的</w:t>
      </w:r>
      <w:r>
        <w:rPr>
          <w:rFonts w:hint="eastAsia"/>
        </w:rPr>
        <w:t>91.8, 1998</w:t>
      </w:r>
      <w:r>
        <w:rPr>
          <w:rFonts w:hint="eastAsia"/>
        </w:rPr>
        <w:t>年为</w:t>
      </w:r>
      <w:r>
        <w:rPr>
          <w:rFonts w:hint="eastAsia"/>
        </w:rPr>
        <w:t>105.8</w:t>
      </w:r>
      <w:r>
        <w:rPr>
          <w:rFonts w:hint="eastAsia"/>
        </w:rPr>
        <w:t>。妇女乳腺癌标准死亡率按克罗地亚和欧洲标准均呈逐步上升趋势。</w:t>
      </w:r>
      <w:r>
        <w:rPr>
          <w:rFonts w:hint="eastAsia"/>
        </w:rPr>
        <w:t>1980</w:t>
      </w:r>
      <w:r>
        <w:rPr>
          <w:rFonts w:hint="eastAsia"/>
        </w:rPr>
        <w:t>年达到</w:t>
      </w:r>
      <w:r>
        <w:rPr>
          <w:rFonts w:hint="eastAsia"/>
        </w:rPr>
        <w:t>18.0/</w:t>
      </w:r>
      <w:r>
        <w:rPr>
          <w:rFonts w:hint="eastAsia"/>
          <w:vertAlign w:val="subscript"/>
        </w:rPr>
        <w:t>100000</w:t>
      </w:r>
      <w:r>
        <w:rPr>
          <w:rFonts w:hint="eastAsia"/>
        </w:rPr>
        <w:t>、</w:t>
      </w:r>
      <w:r>
        <w:rPr>
          <w:rFonts w:hint="eastAsia"/>
        </w:rPr>
        <w:t>1990</w:t>
      </w:r>
      <w:r>
        <w:rPr>
          <w:rFonts w:hint="eastAsia"/>
        </w:rPr>
        <w:t>年为</w:t>
      </w:r>
      <w:r>
        <w:rPr>
          <w:rFonts w:hint="eastAsia"/>
        </w:rPr>
        <w:t>24.8/</w:t>
      </w:r>
      <w:r>
        <w:rPr>
          <w:rFonts w:hint="eastAsia"/>
          <w:vertAlign w:val="subscript"/>
        </w:rPr>
        <w:t>100000</w:t>
      </w:r>
      <w:r>
        <w:rPr>
          <w:rFonts w:hint="eastAsia"/>
        </w:rPr>
        <w:t>和</w:t>
      </w:r>
      <w:r>
        <w:rPr>
          <w:rFonts w:hint="eastAsia"/>
        </w:rPr>
        <w:t>1998</w:t>
      </w:r>
      <w:r>
        <w:rPr>
          <w:rFonts w:hint="eastAsia"/>
        </w:rPr>
        <w:t>年为</w:t>
      </w:r>
      <w:r>
        <w:rPr>
          <w:rFonts w:hint="eastAsia"/>
        </w:rPr>
        <w:t>28.6/</w:t>
      </w:r>
      <w:r>
        <w:rPr>
          <w:rFonts w:hint="eastAsia"/>
          <w:vertAlign w:val="subscript"/>
        </w:rPr>
        <w:t>100000</w:t>
      </w:r>
      <w:r>
        <w:rPr>
          <w:rFonts w:hint="eastAsia"/>
        </w:rPr>
        <w:t>。子宫癌标准死亡率</w:t>
      </w:r>
      <w:r>
        <w:rPr>
          <w:rFonts w:hint="eastAsia"/>
        </w:rPr>
        <w:t>1997</w:t>
      </w:r>
      <w:r>
        <w:rPr>
          <w:rFonts w:hint="eastAsia"/>
        </w:rPr>
        <w:t>年最低，为</w:t>
      </w:r>
      <w:r>
        <w:rPr>
          <w:rFonts w:hint="eastAsia"/>
        </w:rPr>
        <w:t>3.5/</w:t>
      </w:r>
      <w:r>
        <w:rPr>
          <w:rFonts w:hint="eastAsia"/>
          <w:vertAlign w:val="subscript"/>
        </w:rPr>
        <w:t xml:space="preserve">100000, </w:t>
      </w:r>
      <w:r>
        <w:rPr>
          <w:rFonts w:hint="eastAsia"/>
        </w:rPr>
        <w:t>但</w:t>
      </w:r>
      <w:r>
        <w:rPr>
          <w:rFonts w:hint="eastAsia"/>
        </w:rPr>
        <w:t>1998</w:t>
      </w:r>
      <w:r>
        <w:rPr>
          <w:rFonts w:hint="eastAsia"/>
        </w:rPr>
        <w:t>年再次上升，为</w:t>
      </w:r>
      <w:r>
        <w:rPr>
          <w:rFonts w:hint="eastAsia"/>
        </w:rPr>
        <w:t>4.2/</w:t>
      </w:r>
      <w:r>
        <w:rPr>
          <w:rFonts w:hint="eastAsia"/>
          <w:vertAlign w:val="subscript"/>
        </w:rPr>
        <w:t>100000</w:t>
      </w:r>
      <w:r>
        <w:rPr>
          <w:rFonts w:hint="eastAsia"/>
        </w:rPr>
        <w:t>。癌症总的标准死亡率在</w:t>
      </w:r>
      <w:r>
        <w:rPr>
          <w:rFonts w:hint="eastAsia"/>
        </w:rPr>
        <w:t>1998</w:t>
      </w:r>
      <w:r>
        <w:rPr>
          <w:rFonts w:hint="eastAsia"/>
        </w:rPr>
        <w:t>年比</w:t>
      </w:r>
      <w:r>
        <w:rPr>
          <w:rFonts w:hint="eastAsia"/>
        </w:rPr>
        <w:t>1990</w:t>
      </w:r>
      <w:r>
        <w:rPr>
          <w:rFonts w:hint="eastAsia"/>
        </w:rPr>
        <w:t>年上升</w:t>
      </w:r>
      <w:r>
        <w:rPr>
          <w:rFonts w:hint="eastAsia"/>
        </w:rPr>
        <w:t>9.9%</w:t>
      </w:r>
      <w:r>
        <w:rPr>
          <w:rFonts w:hint="eastAsia"/>
        </w:rPr>
        <w:t>。对妇女而言，这一上升率达到</w:t>
      </w:r>
      <w:r>
        <w:rPr>
          <w:rFonts w:hint="eastAsia"/>
        </w:rPr>
        <w:t>8.2%</w:t>
      </w:r>
      <w:r>
        <w:rPr>
          <w:rFonts w:hint="eastAsia"/>
        </w:rPr>
        <w:t>，男子，为</w:t>
      </w:r>
      <w:r>
        <w:rPr>
          <w:rFonts w:hint="eastAsia"/>
        </w:rPr>
        <w:t>14.1%</w:t>
      </w:r>
      <w:r>
        <w:rPr>
          <w:rFonts w:hint="eastAsia"/>
        </w:rPr>
        <w:t>。</w:t>
      </w:r>
    </w:p>
    <w:p w:rsidR="00000000" w:rsidRDefault="00000000">
      <w:r>
        <w:rPr>
          <w:rFonts w:hint="eastAsia"/>
        </w:rPr>
        <w:tab/>
        <w:t xml:space="preserve">363.  </w:t>
      </w:r>
      <w:r>
        <w:rPr>
          <w:rFonts w:hint="eastAsia"/>
        </w:rPr>
        <w:t>健康状况和健康保护以及社会和经济条件的基本指数之一是婴儿死亡率，该死亡率长期以来一直下降，仅因战争而暂停。</w:t>
      </w:r>
      <w:r>
        <w:rPr>
          <w:rFonts w:hint="eastAsia"/>
        </w:rPr>
        <w:t>1980</w:t>
      </w:r>
      <w:r>
        <w:rPr>
          <w:rFonts w:hint="eastAsia"/>
        </w:rPr>
        <w:t>婴儿死亡率为</w:t>
      </w:r>
      <w:r>
        <w:rPr>
          <w:rFonts w:hint="eastAsia"/>
        </w:rPr>
        <w:t>20.6</w:t>
      </w:r>
      <w:r>
        <w:rPr>
          <w:rFonts w:hint="eastAsia"/>
        </w:rPr>
        <w:t>‰，</w:t>
      </w:r>
      <w:r>
        <w:rPr>
          <w:rFonts w:hint="eastAsia"/>
        </w:rPr>
        <w:t>1995</w:t>
      </w:r>
      <w:r>
        <w:rPr>
          <w:rFonts w:hint="eastAsia"/>
        </w:rPr>
        <w:t>年尽管发生了不可避免的战争，婴儿死亡率是</w:t>
      </w:r>
      <w:r>
        <w:rPr>
          <w:rFonts w:hint="eastAsia"/>
        </w:rPr>
        <w:t>8.9</w:t>
      </w:r>
      <w:r>
        <w:rPr>
          <w:rFonts w:hint="eastAsia"/>
        </w:rPr>
        <w:t>‰，是克罗地亚历史上最低点</w:t>
      </w:r>
      <w:r>
        <w:rPr>
          <w:rFonts w:hint="eastAsia"/>
          <w:spacing w:val="-40"/>
        </w:rPr>
        <w:t>。</w:t>
      </w:r>
      <w:r>
        <w:rPr>
          <w:rFonts w:hint="eastAsia"/>
        </w:rPr>
        <w:t>1998</w:t>
      </w:r>
      <w:r>
        <w:rPr>
          <w:rFonts w:hint="eastAsia"/>
        </w:rPr>
        <w:t>年婴儿死亡率为</w:t>
      </w:r>
      <w:r>
        <w:rPr>
          <w:rFonts w:hint="eastAsia"/>
        </w:rPr>
        <w:t>8.2</w:t>
      </w:r>
      <w:r>
        <w:rPr>
          <w:rFonts w:hint="eastAsia"/>
        </w:rPr>
        <w:t>‰。在所有死亡的婴儿中，约</w:t>
      </w:r>
      <w:r>
        <w:rPr>
          <w:rFonts w:hint="eastAsia"/>
        </w:rPr>
        <w:t>50%</w:t>
      </w:r>
      <w:r>
        <w:rPr>
          <w:rFonts w:hint="eastAsia"/>
        </w:rPr>
        <w:t>死于出生的第一周，最大部分死亡集中在出生的第一天。与往年相比，各类单项疾病的次序及其在造成婴儿死亡中所占比例没有变化。在</w:t>
      </w:r>
      <w:r>
        <w:rPr>
          <w:rFonts w:hint="eastAsia"/>
        </w:rPr>
        <w:t>1998</w:t>
      </w:r>
      <w:r>
        <w:rPr>
          <w:rFonts w:hint="eastAsia"/>
        </w:rPr>
        <w:t>年，婴儿死亡的最大原因为“产前的某些条件”，占</w:t>
      </w:r>
      <w:r>
        <w:rPr>
          <w:rFonts w:hint="eastAsia"/>
        </w:rPr>
        <w:t>54.6%</w:t>
      </w:r>
      <w:r>
        <w:rPr>
          <w:rFonts w:hint="eastAsia"/>
        </w:rPr>
        <w:t>、其次为“先天性畸形和染色体异常”，在死因中占</w:t>
      </w:r>
      <w:r>
        <w:rPr>
          <w:rFonts w:hint="eastAsia"/>
        </w:rPr>
        <w:t>29.1%</w:t>
      </w:r>
      <w:r>
        <w:rPr>
          <w:rFonts w:hint="eastAsia"/>
        </w:rPr>
        <w:t>、第三个死因为“呼吸道紊乱”，占</w:t>
      </w:r>
      <w:r>
        <w:rPr>
          <w:rFonts w:hint="eastAsia"/>
        </w:rPr>
        <w:t>4.1%</w:t>
      </w:r>
      <w:r>
        <w:rPr>
          <w:rFonts w:hint="eastAsia"/>
        </w:rPr>
        <w:t>。在所有婴儿死亡中，这三组原因，</w:t>
      </w:r>
      <w:r>
        <w:rPr>
          <w:rFonts w:hint="eastAsia"/>
        </w:rPr>
        <w:t xml:space="preserve"> </w:t>
      </w:r>
      <w:r>
        <w:rPr>
          <w:rFonts w:hint="eastAsia"/>
        </w:rPr>
        <w:t>几乎占</w:t>
      </w:r>
      <w:r>
        <w:rPr>
          <w:rFonts w:hint="eastAsia"/>
        </w:rPr>
        <w:t>90%</w:t>
      </w:r>
      <w:r>
        <w:rPr>
          <w:rFonts w:hint="eastAsia"/>
        </w:rPr>
        <w:t>。造成婴儿死亡最常见的具体原因有婴儿呼吸窘迫、颅内无创伤出血和产前产生的呼吸系统其他状况</w:t>
      </w:r>
      <w:r>
        <w:rPr>
          <w:rFonts w:hint="eastAsia"/>
          <w:spacing w:val="-40"/>
        </w:rPr>
        <w:t>——</w:t>
      </w:r>
      <w:r>
        <w:t xml:space="preserve"> </w:t>
      </w:r>
      <w:r>
        <w:rPr>
          <w:rFonts w:hint="eastAsia"/>
        </w:rPr>
        <w:t>所有这些原因都是早产和妊娠期短造成的，其次是某些畸形和综合症以及“婴儿暴卒综合症”。</w:t>
      </w:r>
    </w:p>
    <w:p w:rsidR="00000000" w:rsidRDefault="00000000">
      <w:r>
        <w:rPr>
          <w:rFonts w:hint="eastAsia"/>
        </w:rPr>
        <w:tab/>
        <w:t xml:space="preserve">364.  </w:t>
      </w:r>
      <w:r>
        <w:rPr>
          <w:rFonts w:hint="eastAsia"/>
        </w:rPr>
        <w:t>关于保护产妇的问题，最常用的指示数是围产期、产后死亡率。在</w:t>
      </w:r>
      <w:r>
        <w:rPr>
          <w:rFonts w:hint="eastAsia"/>
        </w:rPr>
        <w:t>1980</w:t>
      </w:r>
      <w:r>
        <w:rPr>
          <w:rFonts w:hint="eastAsia"/>
        </w:rPr>
        <w:t>年至</w:t>
      </w:r>
      <w:r>
        <w:rPr>
          <w:rFonts w:hint="eastAsia"/>
        </w:rPr>
        <w:t>1998</w:t>
      </w:r>
      <w:r>
        <w:rPr>
          <w:rFonts w:hint="eastAsia"/>
        </w:rPr>
        <w:t>年期间，新生儿早期死亡率下降是降低围产期死亡率的一个基本因素</w:t>
      </w:r>
      <w:r>
        <w:rPr>
          <w:rFonts w:hint="eastAsia"/>
        </w:rPr>
        <w:t>(1981</w:t>
      </w:r>
      <w:r>
        <w:rPr>
          <w:rFonts w:hint="eastAsia"/>
        </w:rPr>
        <w:t>年在每千个活胎中占</w:t>
      </w:r>
      <w:r>
        <w:rPr>
          <w:rFonts w:hint="eastAsia"/>
        </w:rPr>
        <w:t xml:space="preserve">1.8, </w:t>
      </w:r>
      <w:r>
        <w:rPr>
          <w:rFonts w:hint="eastAsia"/>
        </w:rPr>
        <w:t>在</w:t>
      </w:r>
      <w:r>
        <w:rPr>
          <w:rFonts w:hint="eastAsia"/>
        </w:rPr>
        <w:t>1998</w:t>
      </w:r>
      <w:r>
        <w:rPr>
          <w:rFonts w:hint="eastAsia"/>
        </w:rPr>
        <w:t>年在每千个活胎中占</w:t>
      </w:r>
      <w:r>
        <w:rPr>
          <w:rFonts w:hint="eastAsia"/>
        </w:rPr>
        <w:t>4.1)</w:t>
      </w:r>
      <w:r>
        <w:rPr>
          <w:rFonts w:hint="eastAsia"/>
        </w:rPr>
        <w:t>，而胎儿死亡率大体保持在同样水平，没有下降到总出生的</w:t>
      </w:r>
      <w:r>
        <w:rPr>
          <w:rFonts w:hint="eastAsia"/>
        </w:rPr>
        <w:t>4</w:t>
      </w:r>
      <w:r>
        <w:rPr>
          <w:rFonts w:hint="eastAsia"/>
        </w:rPr>
        <w:t>‰以下</w:t>
      </w:r>
      <w:r>
        <w:rPr>
          <w:rFonts w:hint="eastAsia"/>
        </w:rPr>
        <w:t>(1981</w:t>
      </w:r>
      <w:r>
        <w:rPr>
          <w:rFonts w:hint="eastAsia"/>
        </w:rPr>
        <w:t>年为总出生的</w:t>
      </w:r>
      <w:r>
        <w:rPr>
          <w:rFonts w:hint="eastAsia"/>
        </w:rPr>
        <w:t>5.5</w:t>
      </w:r>
      <w:r>
        <w:rPr>
          <w:rFonts w:hint="eastAsia"/>
        </w:rPr>
        <w:t>‰、</w:t>
      </w:r>
      <w:r>
        <w:rPr>
          <w:rFonts w:hint="eastAsia"/>
        </w:rPr>
        <w:t>1998</w:t>
      </w:r>
      <w:r>
        <w:rPr>
          <w:rFonts w:hint="eastAsia"/>
        </w:rPr>
        <w:t>年为总出生的</w:t>
      </w:r>
      <w:r>
        <w:rPr>
          <w:rFonts w:hint="eastAsia"/>
        </w:rPr>
        <w:t>4.8</w:t>
      </w:r>
      <w:r>
        <w:rPr>
          <w:rFonts w:hint="eastAsia"/>
        </w:rPr>
        <w:t>‰</w:t>
      </w:r>
      <w:r>
        <w:rPr>
          <w:rFonts w:hint="eastAsia"/>
        </w:rPr>
        <w:t>)</w:t>
      </w:r>
      <w:r>
        <w:rPr>
          <w:rFonts w:hint="eastAsia"/>
        </w:rPr>
        <w:t>。</w:t>
      </w:r>
      <w:r>
        <w:rPr>
          <w:rFonts w:hint="eastAsia"/>
        </w:rPr>
        <w:t>1998</w:t>
      </w:r>
      <w:r>
        <w:rPr>
          <w:rFonts w:hint="eastAsia"/>
        </w:rPr>
        <w:t>围产期死亡率为总出生的</w:t>
      </w:r>
      <w:r>
        <w:rPr>
          <w:rFonts w:hint="eastAsia"/>
        </w:rPr>
        <w:t>8.9</w:t>
      </w:r>
      <w:r>
        <w:rPr>
          <w:rFonts w:hint="eastAsia"/>
        </w:rPr>
        <w:t>‰。</w:t>
      </w:r>
    </w:p>
    <w:p w:rsidR="00000000" w:rsidRDefault="00000000">
      <w:pPr>
        <w:spacing w:after="240"/>
      </w:pPr>
      <w:r>
        <w:br w:type="page"/>
      </w:r>
      <w:r>
        <w:rPr>
          <w:rFonts w:hint="eastAsia"/>
        </w:rPr>
        <w:tab/>
        <w:t xml:space="preserve">365.  </w:t>
      </w:r>
      <w:r>
        <w:rPr>
          <w:rFonts w:hint="eastAsia"/>
        </w:rPr>
        <w:t>作为童年健康状况最重要的指标之一，婴儿死亡率在</w:t>
      </w:r>
      <w:r>
        <w:rPr>
          <w:rFonts w:hint="eastAsia"/>
        </w:rPr>
        <w:t>1980-1990</w:t>
      </w:r>
      <w:r>
        <w:rPr>
          <w:rFonts w:hint="eastAsia"/>
        </w:rPr>
        <w:t>年期间几乎下降</w:t>
      </w:r>
      <w:r>
        <w:rPr>
          <w:rFonts w:hint="eastAsia"/>
        </w:rPr>
        <w:t>50%(1980</w:t>
      </w:r>
      <w:r>
        <w:rPr>
          <w:rFonts w:hint="eastAsia"/>
        </w:rPr>
        <w:t>年为活胎的</w:t>
      </w:r>
      <w:r>
        <w:rPr>
          <w:rFonts w:hint="eastAsia"/>
        </w:rPr>
        <w:t>20.6</w:t>
      </w:r>
      <w:r>
        <w:rPr>
          <w:rFonts w:hint="eastAsia"/>
        </w:rPr>
        <w:t>‰；</w:t>
      </w:r>
      <w:r>
        <w:rPr>
          <w:rFonts w:hint="eastAsia"/>
        </w:rPr>
        <w:t>1990</w:t>
      </w:r>
      <w:r>
        <w:rPr>
          <w:rFonts w:hint="eastAsia"/>
        </w:rPr>
        <w:t>年为活胎的</w:t>
      </w:r>
      <w:r>
        <w:rPr>
          <w:rFonts w:hint="eastAsia"/>
        </w:rPr>
        <w:t>10.7</w:t>
      </w:r>
      <w:r>
        <w:rPr>
          <w:rFonts w:hint="eastAsia"/>
        </w:rPr>
        <w:t>‰</w:t>
      </w:r>
      <w:r>
        <w:rPr>
          <w:rFonts w:hint="eastAsia"/>
        </w:rPr>
        <w:t>)</w:t>
      </w:r>
      <w:r>
        <w:rPr>
          <w:rFonts w:hint="eastAsia"/>
        </w:rPr>
        <w:t>，这一下降趋势因</w:t>
      </w:r>
      <w:r>
        <w:rPr>
          <w:rFonts w:hint="eastAsia"/>
        </w:rPr>
        <w:t>1991/1992</w:t>
      </w:r>
      <w:r>
        <w:rPr>
          <w:rFonts w:hint="eastAsia"/>
        </w:rPr>
        <w:t>的战时情况而停止。</w:t>
      </w:r>
      <w:r>
        <w:rPr>
          <w:rFonts w:hint="eastAsia"/>
        </w:rPr>
        <w:t>1998</w:t>
      </w:r>
      <w:r>
        <w:rPr>
          <w:rFonts w:hint="eastAsia"/>
        </w:rPr>
        <w:t>该死亡率为</w:t>
      </w:r>
      <w:r>
        <w:rPr>
          <w:rFonts w:hint="eastAsia"/>
        </w:rPr>
        <w:t>8.2</w:t>
      </w:r>
      <w:r>
        <w:rPr>
          <w:rFonts w:hint="eastAsia"/>
        </w:rPr>
        <w:t>‰</w:t>
      </w:r>
      <w:r>
        <w:rPr>
          <w:rFonts w:hint="eastAsia"/>
        </w:rPr>
        <w:t xml:space="preserve"> (</w:t>
      </w:r>
      <w:r>
        <w:rPr>
          <w:rFonts w:hint="eastAsia"/>
        </w:rPr>
        <w:t>表</w:t>
      </w:r>
      <w:r>
        <w:rPr>
          <w:rFonts w:hint="eastAsia"/>
        </w:rPr>
        <w:t>5)</w:t>
      </w:r>
      <w:r>
        <w:rPr>
          <w:rFonts w:hint="eastAsia"/>
        </w:rPr>
        <w:t>。克罗地亚婴儿死亡的基本特征是婴儿死亡率的地区差别很大，同一县内婴儿死亡率每年的升降趋势也不均衡</w:t>
      </w:r>
      <w:r>
        <w:rPr>
          <w:rFonts w:hint="eastAsia"/>
        </w:rPr>
        <w:t>(</w:t>
      </w:r>
      <w:r>
        <w:rPr>
          <w:rFonts w:hint="eastAsia"/>
        </w:rPr>
        <w:t>表</w:t>
      </w:r>
      <w:r>
        <w:rPr>
          <w:rFonts w:hint="eastAsia"/>
        </w:rPr>
        <w:t>6)</w:t>
      </w:r>
      <w:r>
        <w:rPr>
          <w:rFonts w:hint="eastAsia"/>
        </w:rPr>
        <w:t>。</w:t>
      </w:r>
    </w:p>
    <w:p w:rsidR="00000000" w:rsidRDefault="00000000">
      <w:pPr>
        <w:spacing w:after="160"/>
        <w:jc w:val="center"/>
        <w:rPr>
          <w:rFonts w:hint="eastAsia"/>
          <w:u w:val="single"/>
        </w:rPr>
      </w:pPr>
      <w:r>
        <w:rPr>
          <w:rFonts w:hint="eastAsia"/>
          <w:u w:val="single"/>
        </w:rPr>
        <w:t>表</w:t>
      </w:r>
      <w:r>
        <w:rPr>
          <w:rFonts w:hint="eastAsia"/>
          <w:u w:val="single"/>
        </w:rPr>
        <w:t>5.  1979</w:t>
      </w:r>
      <w:r>
        <w:rPr>
          <w:rFonts w:hint="eastAsia"/>
          <w:u w:val="single"/>
        </w:rPr>
        <w:t>至</w:t>
      </w:r>
      <w:r>
        <w:rPr>
          <w:rFonts w:hint="eastAsia"/>
          <w:u w:val="single"/>
        </w:rPr>
        <w:t>1998</w:t>
      </w:r>
      <w:r>
        <w:rPr>
          <w:rFonts w:hint="eastAsia"/>
          <w:u w:val="single"/>
        </w:rPr>
        <w:t>年婴儿死亡率和</w:t>
      </w:r>
      <w:r>
        <w:rPr>
          <w:rFonts w:hint="eastAsia"/>
          <w:szCs w:val="22"/>
          <w:u w:val="single"/>
          <w:lang w:val="en-GB"/>
        </w:rPr>
        <w:t>每</w:t>
      </w:r>
      <w:r>
        <w:rPr>
          <w:szCs w:val="22"/>
          <w:u w:val="single"/>
          <w:lang w:val="en-GB"/>
        </w:rPr>
        <w:t>1,000</w:t>
      </w:r>
      <w:r>
        <w:rPr>
          <w:rFonts w:hint="eastAsia"/>
          <w:szCs w:val="22"/>
          <w:u w:val="single"/>
          <w:lang w:val="en-GB"/>
        </w:rPr>
        <w:t>名活产婴儿死亡率</w:t>
      </w:r>
    </w:p>
    <w:tbl>
      <w:tblPr>
        <w:tblW w:w="0" w:type="auto"/>
        <w:tblInd w:w="202" w:type="dxa"/>
        <w:tblLayout w:type="fixed"/>
        <w:tblCellMar>
          <w:left w:w="97" w:type="dxa"/>
          <w:right w:w="97" w:type="dxa"/>
        </w:tblCellMar>
        <w:tblLook w:val="0000" w:firstRow="0" w:lastRow="0" w:firstColumn="0" w:lastColumn="0" w:noHBand="0" w:noVBand="0"/>
      </w:tblPr>
      <w:tblGrid>
        <w:gridCol w:w="3282"/>
        <w:gridCol w:w="2855"/>
        <w:gridCol w:w="3103"/>
      </w:tblGrid>
      <w:tr w:rsidR="00000000">
        <w:tblPrEx>
          <w:tblCellMar>
            <w:top w:w="0" w:type="dxa"/>
            <w:bottom w:w="0" w:type="dxa"/>
          </w:tblCellMar>
        </w:tblPrEx>
        <w:tc>
          <w:tcPr>
            <w:tcW w:w="3282" w:type="dxa"/>
            <w:tcBorders>
              <w:top w:val="single" w:sz="4" w:space="0" w:color="auto"/>
              <w:bottom w:val="single" w:sz="4" w:space="0" w:color="auto"/>
            </w:tcBorders>
          </w:tcPr>
          <w:p w:rsidR="00000000" w:rsidRDefault="00000000">
            <w:pPr>
              <w:spacing w:before="120" w:after="120" w:line="240" w:lineRule="exact"/>
              <w:jc w:val="center"/>
              <w:rPr>
                <w:rFonts w:hint="eastAsia"/>
                <w:sz w:val="22"/>
                <w:szCs w:val="22"/>
                <w:lang w:val="en-GB"/>
              </w:rPr>
            </w:pPr>
            <w:r>
              <w:rPr>
                <w:rFonts w:hint="eastAsia"/>
                <w:sz w:val="22"/>
                <w:szCs w:val="22"/>
                <w:lang w:val="en-GB"/>
              </w:rPr>
              <w:t>年</w:t>
            </w:r>
            <w:r>
              <w:rPr>
                <w:rFonts w:hint="eastAsia"/>
                <w:sz w:val="22"/>
                <w:szCs w:val="22"/>
                <w:lang w:val="en-GB"/>
              </w:rPr>
              <w:t xml:space="preserve">  </w:t>
            </w:r>
            <w:r>
              <w:rPr>
                <w:rFonts w:hint="eastAsia"/>
                <w:sz w:val="22"/>
                <w:szCs w:val="22"/>
                <w:lang w:val="en-GB"/>
              </w:rPr>
              <w:t>份</w:t>
            </w:r>
          </w:p>
        </w:tc>
        <w:tc>
          <w:tcPr>
            <w:tcW w:w="2855" w:type="dxa"/>
            <w:tcBorders>
              <w:top w:val="single" w:sz="4" w:space="0" w:color="auto"/>
              <w:bottom w:val="single" w:sz="4" w:space="0" w:color="auto"/>
            </w:tcBorders>
          </w:tcPr>
          <w:p w:rsidR="00000000" w:rsidRDefault="00000000">
            <w:pPr>
              <w:spacing w:before="120" w:after="120" w:line="240" w:lineRule="exact"/>
              <w:jc w:val="center"/>
              <w:rPr>
                <w:rFonts w:hint="eastAsia"/>
                <w:sz w:val="22"/>
                <w:szCs w:val="22"/>
                <w:lang w:val="en-GB"/>
              </w:rPr>
            </w:pPr>
            <w:r>
              <w:rPr>
                <w:rFonts w:hint="eastAsia"/>
                <w:sz w:val="22"/>
                <w:szCs w:val="22"/>
                <w:lang w:val="en-GB"/>
              </w:rPr>
              <w:t>数</w:t>
            </w:r>
            <w:r>
              <w:rPr>
                <w:rFonts w:hint="eastAsia"/>
                <w:sz w:val="22"/>
                <w:szCs w:val="22"/>
                <w:lang w:val="en-GB"/>
              </w:rPr>
              <w:t xml:space="preserve">  </w:t>
            </w:r>
            <w:r>
              <w:rPr>
                <w:rFonts w:hint="eastAsia"/>
                <w:sz w:val="22"/>
                <w:szCs w:val="22"/>
                <w:lang w:val="en-GB"/>
              </w:rPr>
              <w:t>量</w:t>
            </w:r>
          </w:p>
        </w:tc>
        <w:tc>
          <w:tcPr>
            <w:tcW w:w="3103" w:type="dxa"/>
            <w:tcBorders>
              <w:top w:val="single" w:sz="4" w:space="0" w:color="auto"/>
              <w:bottom w:val="single" w:sz="4" w:space="0" w:color="auto"/>
            </w:tcBorders>
          </w:tcPr>
          <w:p w:rsidR="00000000" w:rsidRDefault="00000000">
            <w:pPr>
              <w:spacing w:before="120" w:after="120" w:line="240" w:lineRule="exact"/>
              <w:jc w:val="center"/>
              <w:rPr>
                <w:rFonts w:hint="eastAsia"/>
                <w:sz w:val="22"/>
                <w:szCs w:val="22"/>
                <w:lang w:val="en-GB"/>
              </w:rPr>
            </w:pPr>
            <w:r>
              <w:rPr>
                <w:rFonts w:hint="eastAsia"/>
                <w:sz w:val="22"/>
                <w:szCs w:val="22"/>
                <w:lang w:val="en-GB"/>
              </w:rPr>
              <w:t>每</w:t>
            </w:r>
            <w:r>
              <w:rPr>
                <w:sz w:val="22"/>
                <w:szCs w:val="22"/>
                <w:lang w:val="en-GB"/>
              </w:rPr>
              <w:t xml:space="preserve">1,000 </w:t>
            </w:r>
            <w:r>
              <w:rPr>
                <w:rFonts w:hint="eastAsia"/>
                <w:sz w:val="22"/>
                <w:szCs w:val="22"/>
                <w:lang w:val="en-GB"/>
              </w:rPr>
              <w:t>名活产婴儿死亡率</w:t>
            </w:r>
          </w:p>
        </w:tc>
      </w:tr>
      <w:tr w:rsidR="00000000">
        <w:tblPrEx>
          <w:tblCellMar>
            <w:top w:w="0" w:type="dxa"/>
            <w:bottom w:w="0" w:type="dxa"/>
          </w:tblCellMar>
        </w:tblPrEx>
        <w:tc>
          <w:tcPr>
            <w:tcW w:w="3282" w:type="dxa"/>
            <w:tcBorders>
              <w:top w:val="single" w:sz="4" w:space="0" w:color="auto"/>
            </w:tcBorders>
          </w:tcPr>
          <w:p w:rsidR="00000000" w:rsidRDefault="00000000">
            <w:pPr>
              <w:jc w:val="center"/>
              <w:rPr>
                <w:sz w:val="22"/>
                <w:szCs w:val="22"/>
                <w:lang w:val="en-GB"/>
              </w:rPr>
            </w:pPr>
            <w:r>
              <w:rPr>
                <w:sz w:val="22"/>
                <w:szCs w:val="22"/>
                <w:lang w:val="en-GB"/>
              </w:rPr>
              <w:fldChar w:fldCharType="begin"/>
            </w:r>
            <w:r>
              <w:rPr>
                <w:sz w:val="22"/>
                <w:szCs w:val="22"/>
                <w:lang w:val="en-GB"/>
              </w:rPr>
              <w:instrText>ADVANCE \d2</w:instrText>
            </w:r>
            <w:r>
              <w:rPr>
                <w:sz w:val="22"/>
                <w:szCs w:val="22"/>
                <w:lang w:val="en-GB"/>
              </w:rPr>
              <w:fldChar w:fldCharType="end"/>
            </w:r>
            <w:r>
              <w:rPr>
                <w:sz w:val="22"/>
                <w:szCs w:val="22"/>
                <w:lang w:val="en-GB"/>
              </w:rPr>
              <w:t>1979</w:t>
            </w:r>
          </w:p>
        </w:tc>
        <w:tc>
          <w:tcPr>
            <w:tcW w:w="2855" w:type="dxa"/>
            <w:tcBorders>
              <w:top w:val="single" w:sz="4" w:space="0" w:color="auto"/>
            </w:tcBorders>
          </w:tcPr>
          <w:p w:rsidR="00000000" w:rsidRDefault="00000000">
            <w:pPr>
              <w:jc w:val="center"/>
              <w:rPr>
                <w:sz w:val="22"/>
                <w:szCs w:val="22"/>
                <w:lang w:val="en-GB"/>
              </w:rPr>
            </w:pPr>
            <w:r>
              <w:rPr>
                <w:sz w:val="22"/>
                <w:szCs w:val="22"/>
                <w:lang w:val="en-GB"/>
              </w:rPr>
              <w:fldChar w:fldCharType="begin"/>
            </w:r>
            <w:r>
              <w:rPr>
                <w:sz w:val="22"/>
                <w:szCs w:val="22"/>
                <w:lang w:val="en-GB"/>
              </w:rPr>
              <w:instrText>ADVANCE \d2</w:instrText>
            </w:r>
            <w:r>
              <w:rPr>
                <w:sz w:val="22"/>
                <w:szCs w:val="22"/>
                <w:lang w:val="en-GB"/>
              </w:rPr>
              <w:fldChar w:fldCharType="end"/>
            </w:r>
            <w:r>
              <w:rPr>
                <w:sz w:val="22"/>
                <w:szCs w:val="22"/>
                <w:lang w:val="en-GB"/>
              </w:rPr>
              <w:t>1,332</w:t>
            </w:r>
          </w:p>
        </w:tc>
        <w:tc>
          <w:tcPr>
            <w:tcW w:w="3103" w:type="dxa"/>
            <w:tcBorders>
              <w:top w:val="single" w:sz="4" w:space="0" w:color="auto"/>
            </w:tcBorders>
          </w:tcPr>
          <w:p w:rsidR="00000000" w:rsidRDefault="00000000">
            <w:pPr>
              <w:jc w:val="center"/>
              <w:rPr>
                <w:sz w:val="22"/>
                <w:szCs w:val="22"/>
                <w:lang w:val="en-GB"/>
              </w:rPr>
            </w:pPr>
            <w:r>
              <w:rPr>
                <w:sz w:val="22"/>
                <w:szCs w:val="22"/>
                <w:lang w:val="en-GB"/>
              </w:rPr>
              <w:fldChar w:fldCharType="begin"/>
            </w:r>
            <w:r>
              <w:rPr>
                <w:sz w:val="22"/>
                <w:szCs w:val="22"/>
                <w:lang w:val="en-GB"/>
              </w:rPr>
              <w:instrText>ADVANCE \d2</w:instrText>
            </w:r>
            <w:r>
              <w:rPr>
                <w:sz w:val="22"/>
                <w:szCs w:val="22"/>
                <w:lang w:val="en-GB"/>
              </w:rPr>
              <w:fldChar w:fldCharType="end"/>
            </w:r>
            <w:r>
              <w:rPr>
                <w:sz w:val="22"/>
                <w:szCs w:val="22"/>
                <w:lang w:val="en-GB"/>
              </w:rPr>
              <w:t>19.2</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1980</w:t>
            </w:r>
          </w:p>
        </w:tc>
        <w:tc>
          <w:tcPr>
            <w:tcW w:w="2855" w:type="dxa"/>
          </w:tcPr>
          <w:p w:rsidR="00000000" w:rsidRDefault="00000000">
            <w:pPr>
              <w:jc w:val="center"/>
              <w:rPr>
                <w:sz w:val="22"/>
                <w:szCs w:val="22"/>
                <w:lang w:val="en-GB"/>
              </w:rPr>
            </w:pPr>
            <w:r>
              <w:rPr>
                <w:sz w:val="22"/>
                <w:szCs w:val="22"/>
                <w:lang w:val="en-GB"/>
              </w:rPr>
              <w:t>1,403</w:t>
            </w:r>
          </w:p>
        </w:tc>
        <w:tc>
          <w:tcPr>
            <w:tcW w:w="3103" w:type="dxa"/>
          </w:tcPr>
          <w:p w:rsidR="00000000" w:rsidRDefault="00000000">
            <w:pPr>
              <w:jc w:val="center"/>
              <w:rPr>
                <w:sz w:val="22"/>
                <w:szCs w:val="22"/>
                <w:lang w:val="en-GB"/>
              </w:rPr>
            </w:pPr>
            <w:r>
              <w:rPr>
                <w:sz w:val="22"/>
                <w:szCs w:val="22"/>
                <w:lang w:val="en-GB"/>
              </w:rPr>
              <w:t>20.6</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1981</w:t>
            </w:r>
          </w:p>
        </w:tc>
        <w:tc>
          <w:tcPr>
            <w:tcW w:w="2855" w:type="dxa"/>
          </w:tcPr>
          <w:p w:rsidR="00000000" w:rsidRDefault="00000000">
            <w:pPr>
              <w:jc w:val="center"/>
              <w:rPr>
                <w:sz w:val="22"/>
                <w:szCs w:val="22"/>
                <w:lang w:val="en-GB"/>
              </w:rPr>
            </w:pPr>
            <w:r>
              <w:rPr>
                <w:sz w:val="22"/>
                <w:szCs w:val="22"/>
                <w:lang w:val="en-GB"/>
              </w:rPr>
              <w:t>1,273</w:t>
            </w:r>
          </w:p>
        </w:tc>
        <w:tc>
          <w:tcPr>
            <w:tcW w:w="3103" w:type="dxa"/>
          </w:tcPr>
          <w:p w:rsidR="00000000" w:rsidRDefault="00000000">
            <w:pPr>
              <w:jc w:val="center"/>
              <w:rPr>
                <w:sz w:val="22"/>
                <w:szCs w:val="22"/>
                <w:lang w:val="en-GB"/>
              </w:rPr>
            </w:pPr>
            <w:r>
              <w:rPr>
                <w:sz w:val="22"/>
                <w:szCs w:val="22"/>
                <w:lang w:val="en-GB"/>
              </w:rPr>
              <w:t>18.9</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1982</w:t>
            </w:r>
          </w:p>
        </w:tc>
        <w:tc>
          <w:tcPr>
            <w:tcW w:w="2855" w:type="dxa"/>
          </w:tcPr>
          <w:p w:rsidR="00000000" w:rsidRDefault="00000000">
            <w:pPr>
              <w:jc w:val="center"/>
              <w:rPr>
                <w:sz w:val="22"/>
                <w:szCs w:val="22"/>
                <w:lang w:val="en-GB"/>
              </w:rPr>
            </w:pPr>
            <w:r>
              <w:rPr>
                <w:sz w:val="22"/>
                <w:szCs w:val="22"/>
                <w:lang w:val="en-GB"/>
              </w:rPr>
              <w:t>1,219</w:t>
            </w:r>
          </w:p>
        </w:tc>
        <w:tc>
          <w:tcPr>
            <w:tcW w:w="3103" w:type="dxa"/>
          </w:tcPr>
          <w:p w:rsidR="00000000" w:rsidRDefault="00000000">
            <w:pPr>
              <w:jc w:val="center"/>
              <w:rPr>
                <w:sz w:val="22"/>
                <w:szCs w:val="22"/>
                <w:lang w:val="en-GB"/>
              </w:rPr>
            </w:pPr>
            <w:r>
              <w:rPr>
                <w:sz w:val="22"/>
                <w:szCs w:val="22"/>
                <w:lang w:val="en-GB"/>
              </w:rPr>
              <w:t>18.3</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1983</w:t>
            </w:r>
          </w:p>
        </w:tc>
        <w:tc>
          <w:tcPr>
            <w:tcW w:w="2855" w:type="dxa"/>
          </w:tcPr>
          <w:p w:rsidR="00000000" w:rsidRDefault="00000000">
            <w:pPr>
              <w:jc w:val="center"/>
              <w:rPr>
                <w:sz w:val="22"/>
                <w:szCs w:val="22"/>
                <w:lang w:val="en-GB"/>
              </w:rPr>
            </w:pPr>
            <w:r>
              <w:rPr>
                <w:sz w:val="22"/>
                <w:szCs w:val="22"/>
                <w:lang w:val="en-GB"/>
              </w:rPr>
              <w:t>1,224</w:t>
            </w:r>
          </w:p>
        </w:tc>
        <w:tc>
          <w:tcPr>
            <w:tcW w:w="3103" w:type="dxa"/>
          </w:tcPr>
          <w:p w:rsidR="00000000" w:rsidRDefault="00000000">
            <w:pPr>
              <w:jc w:val="center"/>
              <w:rPr>
                <w:sz w:val="22"/>
                <w:szCs w:val="22"/>
                <w:lang w:val="en-GB"/>
              </w:rPr>
            </w:pPr>
            <w:r>
              <w:rPr>
                <w:sz w:val="22"/>
                <w:szCs w:val="22"/>
                <w:lang w:val="en-GB"/>
              </w:rPr>
              <w:t>18.7</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1984</w:t>
            </w:r>
          </w:p>
        </w:tc>
        <w:tc>
          <w:tcPr>
            <w:tcW w:w="2855" w:type="dxa"/>
          </w:tcPr>
          <w:p w:rsidR="00000000" w:rsidRDefault="00000000">
            <w:pPr>
              <w:jc w:val="center"/>
              <w:rPr>
                <w:sz w:val="22"/>
                <w:szCs w:val="22"/>
                <w:lang w:val="en-GB"/>
              </w:rPr>
            </w:pPr>
            <w:r>
              <w:rPr>
                <w:sz w:val="22"/>
                <w:szCs w:val="22"/>
                <w:lang w:val="en-GB"/>
              </w:rPr>
              <w:t>1,088</w:t>
            </w:r>
          </w:p>
        </w:tc>
        <w:tc>
          <w:tcPr>
            <w:tcW w:w="3103" w:type="dxa"/>
          </w:tcPr>
          <w:p w:rsidR="00000000" w:rsidRDefault="00000000">
            <w:pPr>
              <w:jc w:val="center"/>
              <w:rPr>
                <w:sz w:val="22"/>
                <w:szCs w:val="22"/>
                <w:lang w:val="en-GB"/>
              </w:rPr>
            </w:pPr>
            <w:r>
              <w:rPr>
                <w:sz w:val="22"/>
                <w:szCs w:val="22"/>
                <w:lang w:val="en-GB"/>
              </w:rPr>
              <w:t>16.8</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1985</w:t>
            </w:r>
          </w:p>
        </w:tc>
        <w:tc>
          <w:tcPr>
            <w:tcW w:w="2855" w:type="dxa"/>
          </w:tcPr>
          <w:p w:rsidR="00000000" w:rsidRDefault="00000000">
            <w:pPr>
              <w:jc w:val="center"/>
              <w:rPr>
                <w:sz w:val="22"/>
                <w:szCs w:val="22"/>
                <w:lang w:val="en-GB"/>
              </w:rPr>
            </w:pPr>
            <w:r>
              <w:rPr>
                <w:sz w:val="22"/>
                <w:szCs w:val="22"/>
                <w:lang w:val="en-GB"/>
              </w:rPr>
              <w:t>1,039</w:t>
            </w:r>
          </w:p>
        </w:tc>
        <w:tc>
          <w:tcPr>
            <w:tcW w:w="3103" w:type="dxa"/>
          </w:tcPr>
          <w:p w:rsidR="00000000" w:rsidRDefault="00000000">
            <w:pPr>
              <w:jc w:val="center"/>
              <w:rPr>
                <w:sz w:val="22"/>
                <w:szCs w:val="22"/>
                <w:lang w:val="en-GB"/>
              </w:rPr>
            </w:pPr>
            <w:r>
              <w:rPr>
                <w:sz w:val="22"/>
                <w:szCs w:val="22"/>
                <w:lang w:val="en-GB"/>
              </w:rPr>
              <w:t>16.6</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1986</w:t>
            </w:r>
          </w:p>
        </w:tc>
        <w:tc>
          <w:tcPr>
            <w:tcW w:w="2855" w:type="dxa"/>
          </w:tcPr>
          <w:p w:rsidR="00000000" w:rsidRDefault="00000000">
            <w:pPr>
              <w:jc w:val="center"/>
              <w:rPr>
                <w:sz w:val="22"/>
                <w:szCs w:val="22"/>
                <w:lang w:val="en-GB"/>
              </w:rPr>
            </w:pPr>
            <w:r>
              <w:rPr>
                <w:sz w:val="22"/>
                <w:szCs w:val="22"/>
                <w:lang w:val="en-GB"/>
              </w:rPr>
              <w:t>948</w:t>
            </w:r>
          </w:p>
        </w:tc>
        <w:tc>
          <w:tcPr>
            <w:tcW w:w="3103" w:type="dxa"/>
          </w:tcPr>
          <w:p w:rsidR="00000000" w:rsidRDefault="00000000">
            <w:pPr>
              <w:jc w:val="center"/>
              <w:rPr>
                <w:sz w:val="22"/>
                <w:szCs w:val="22"/>
                <w:lang w:val="en-GB"/>
              </w:rPr>
            </w:pPr>
            <w:r>
              <w:rPr>
                <w:sz w:val="22"/>
                <w:szCs w:val="22"/>
                <w:lang w:val="en-GB"/>
              </w:rPr>
              <w:t>15.9</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1987</w:t>
            </w:r>
          </w:p>
        </w:tc>
        <w:tc>
          <w:tcPr>
            <w:tcW w:w="2855" w:type="dxa"/>
          </w:tcPr>
          <w:p w:rsidR="00000000" w:rsidRDefault="00000000">
            <w:pPr>
              <w:jc w:val="center"/>
              <w:rPr>
                <w:sz w:val="22"/>
                <w:szCs w:val="22"/>
                <w:lang w:val="en-GB"/>
              </w:rPr>
            </w:pPr>
            <w:r>
              <w:rPr>
                <w:sz w:val="22"/>
                <w:szCs w:val="22"/>
                <w:lang w:val="en-GB"/>
              </w:rPr>
              <w:t>826</w:t>
            </w:r>
          </w:p>
        </w:tc>
        <w:tc>
          <w:tcPr>
            <w:tcW w:w="3103" w:type="dxa"/>
          </w:tcPr>
          <w:p w:rsidR="00000000" w:rsidRDefault="00000000">
            <w:pPr>
              <w:jc w:val="center"/>
              <w:rPr>
                <w:sz w:val="22"/>
                <w:szCs w:val="22"/>
                <w:lang w:val="en-GB"/>
              </w:rPr>
            </w:pPr>
            <w:r>
              <w:rPr>
                <w:sz w:val="22"/>
                <w:szCs w:val="22"/>
                <w:lang w:val="en-GB"/>
              </w:rPr>
              <w:t>14.0</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1988</w:t>
            </w:r>
          </w:p>
        </w:tc>
        <w:tc>
          <w:tcPr>
            <w:tcW w:w="2855" w:type="dxa"/>
          </w:tcPr>
          <w:p w:rsidR="00000000" w:rsidRDefault="00000000">
            <w:pPr>
              <w:jc w:val="center"/>
              <w:rPr>
                <w:sz w:val="22"/>
                <w:szCs w:val="22"/>
                <w:lang w:val="en-GB"/>
              </w:rPr>
            </w:pPr>
            <w:r>
              <w:rPr>
                <w:sz w:val="22"/>
                <w:szCs w:val="22"/>
                <w:lang w:val="en-GB"/>
              </w:rPr>
              <w:t>765</w:t>
            </w:r>
          </w:p>
        </w:tc>
        <w:tc>
          <w:tcPr>
            <w:tcW w:w="3103" w:type="dxa"/>
          </w:tcPr>
          <w:p w:rsidR="00000000" w:rsidRDefault="00000000">
            <w:pPr>
              <w:jc w:val="center"/>
              <w:rPr>
                <w:sz w:val="22"/>
                <w:szCs w:val="22"/>
                <w:lang w:val="en-GB"/>
              </w:rPr>
            </w:pPr>
            <w:r>
              <w:rPr>
                <w:sz w:val="22"/>
                <w:szCs w:val="22"/>
                <w:lang w:val="en-GB"/>
              </w:rPr>
              <w:t>13.1</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1989</w:t>
            </w:r>
          </w:p>
        </w:tc>
        <w:tc>
          <w:tcPr>
            <w:tcW w:w="2855" w:type="dxa"/>
          </w:tcPr>
          <w:p w:rsidR="00000000" w:rsidRDefault="00000000">
            <w:pPr>
              <w:jc w:val="center"/>
              <w:rPr>
                <w:sz w:val="22"/>
                <w:szCs w:val="22"/>
                <w:lang w:val="en-GB"/>
              </w:rPr>
            </w:pPr>
            <w:r>
              <w:rPr>
                <w:sz w:val="22"/>
                <w:szCs w:val="22"/>
                <w:lang w:val="en-GB"/>
              </w:rPr>
              <w:t>651</w:t>
            </w:r>
          </w:p>
        </w:tc>
        <w:tc>
          <w:tcPr>
            <w:tcW w:w="3103" w:type="dxa"/>
          </w:tcPr>
          <w:p w:rsidR="00000000" w:rsidRDefault="00000000">
            <w:pPr>
              <w:jc w:val="center"/>
              <w:rPr>
                <w:sz w:val="22"/>
                <w:szCs w:val="22"/>
                <w:lang w:val="en-GB"/>
              </w:rPr>
            </w:pPr>
            <w:r>
              <w:rPr>
                <w:sz w:val="22"/>
                <w:szCs w:val="22"/>
                <w:lang w:val="en-GB"/>
              </w:rPr>
              <w:t>11.7</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1990</w:t>
            </w:r>
          </w:p>
        </w:tc>
        <w:tc>
          <w:tcPr>
            <w:tcW w:w="2855" w:type="dxa"/>
          </w:tcPr>
          <w:p w:rsidR="00000000" w:rsidRDefault="00000000">
            <w:pPr>
              <w:jc w:val="center"/>
              <w:rPr>
                <w:sz w:val="22"/>
                <w:szCs w:val="22"/>
                <w:lang w:val="en-GB"/>
              </w:rPr>
            </w:pPr>
            <w:r>
              <w:rPr>
                <w:sz w:val="22"/>
                <w:szCs w:val="22"/>
                <w:lang w:val="en-GB"/>
              </w:rPr>
              <w:t>591</w:t>
            </w:r>
          </w:p>
        </w:tc>
        <w:tc>
          <w:tcPr>
            <w:tcW w:w="3103" w:type="dxa"/>
          </w:tcPr>
          <w:p w:rsidR="00000000" w:rsidRDefault="00000000">
            <w:pPr>
              <w:jc w:val="center"/>
              <w:rPr>
                <w:sz w:val="22"/>
                <w:szCs w:val="22"/>
                <w:lang w:val="en-GB"/>
              </w:rPr>
            </w:pPr>
            <w:r>
              <w:rPr>
                <w:sz w:val="22"/>
                <w:szCs w:val="22"/>
                <w:lang w:val="en-GB"/>
              </w:rPr>
              <w:t>10.7</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1991</w:t>
            </w:r>
          </w:p>
        </w:tc>
        <w:tc>
          <w:tcPr>
            <w:tcW w:w="2855" w:type="dxa"/>
          </w:tcPr>
          <w:p w:rsidR="00000000" w:rsidRDefault="00000000">
            <w:pPr>
              <w:jc w:val="center"/>
              <w:rPr>
                <w:sz w:val="22"/>
                <w:szCs w:val="22"/>
                <w:lang w:val="en-GB"/>
              </w:rPr>
            </w:pPr>
            <w:r>
              <w:rPr>
                <w:sz w:val="22"/>
                <w:szCs w:val="22"/>
                <w:lang w:val="en-GB"/>
              </w:rPr>
              <w:t>575</w:t>
            </w:r>
          </w:p>
        </w:tc>
        <w:tc>
          <w:tcPr>
            <w:tcW w:w="3103" w:type="dxa"/>
          </w:tcPr>
          <w:p w:rsidR="00000000" w:rsidRDefault="00000000">
            <w:pPr>
              <w:jc w:val="center"/>
              <w:rPr>
                <w:sz w:val="22"/>
                <w:szCs w:val="22"/>
                <w:lang w:val="en-GB"/>
              </w:rPr>
            </w:pPr>
            <w:r>
              <w:rPr>
                <w:sz w:val="22"/>
                <w:szCs w:val="22"/>
                <w:lang w:val="en-GB"/>
              </w:rPr>
              <w:t>11.1</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1992</w:t>
            </w:r>
          </w:p>
        </w:tc>
        <w:tc>
          <w:tcPr>
            <w:tcW w:w="2855" w:type="dxa"/>
          </w:tcPr>
          <w:p w:rsidR="00000000" w:rsidRDefault="00000000">
            <w:pPr>
              <w:jc w:val="center"/>
              <w:rPr>
                <w:sz w:val="22"/>
                <w:szCs w:val="22"/>
                <w:lang w:val="en-GB"/>
              </w:rPr>
            </w:pPr>
            <w:r>
              <w:rPr>
                <w:sz w:val="22"/>
                <w:szCs w:val="22"/>
                <w:lang w:val="en-GB"/>
              </w:rPr>
              <w:t>546</w:t>
            </w:r>
          </w:p>
        </w:tc>
        <w:tc>
          <w:tcPr>
            <w:tcW w:w="3103" w:type="dxa"/>
          </w:tcPr>
          <w:p w:rsidR="00000000" w:rsidRDefault="00000000">
            <w:pPr>
              <w:jc w:val="center"/>
              <w:rPr>
                <w:sz w:val="22"/>
                <w:szCs w:val="22"/>
                <w:lang w:val="en-GB"/>
              </w:rPr>
            </w:pPr>
            <w:r>
              <w:rPr>
                <w:sz w:val="22"/>
                <w:szCs w:val="22"/>
                <w:lang w:val="en-GB"/>
              </w:rPr>
              <w:t>11.6</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1993</w:t>
            </w:r>
          </w:p>
        </w:tc>
        <w:tc>
          <w:tcPr>
            <w:tcW w:w="2855" w:type="dxa"/>
          </w:tcPr>
          <w:p w:rsidR="00000000" w:rsidRDefault="00000000">
            <w:pPr>
              <w:jc w:val="center"/>
              <w:rPr>
                <w:sz w:val="22"/>
                <w:szCs w:val="22"/>
                <w:lang w:val="en-GB"/>
              </w:rPr>
            </w:pPr>
            <w:r>
              <w:rPr>
                <w:sz w:val="22"/>
                <w:szCs w:val="22"/>
                <w:lang w:val="en-GB"/>
              </w:rPr>
              <w:t>480</w:t>
            </w:r>
          </w:p>
        </w:tc>
        <w:tc>
          <w:tcPr>
            <w:tcW w:w="3103" w:type="dxa"/>
          </w:tcPr>
          <w:p w:rsidR="00000000" w:rsidRDefault="00000000">
            <w:pPr>
              <w:jc w:val="center"/>
              <w:rPr>
                <w:sz w:val="22"/>
                <w:szCs w:val="22"/>
                <w:lang w:val="en-GB"/>
              </w:rPr>
            </w:pPr>
            <w:r>
              <w:rPr>
                <w:sz w:val="22"/>
                <w:szCs w:val="22"/>
                <w:lang w:val="en-GB"/>
              </w:rPr>
              <w:t>9.9</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1994</w:t>
            </w:r>
          </w:p>
        </w:tc>
        <w:tc>
          <w:tcPr>
            <w:tcW w:w="2855" w:type="dxa"/>
          </w:tcPr>
          <w:p w:rsidR="00000000" w:rsidRDefault="00000000">
            <w:pPr>
              <w:jc w:val="center"/>
              <w:rPr>
                <w:sz w:val="22"/>
                <w:szCs w:val="22"/>
                <w:lang w:val="en-GB"/>
              </w:rPr>
            </w:pPr>
            <w:r>
              <w:rPr>
                <w:sz w:val="22"/>
                <w:szCs w:val="22"/>
                <w:lang w:val="en-GB"/>
              </w:rPr>
              <w:t>495</w:t>
            </w:r>
          </w:p>
        </w:tc>
        <w:tc>
          <w:tcPr>
            <w:tcW w:w="3103" w:type="dxa"/>
          </w:tcPr>
          <w:p w:rsidR="00000000" w:rsidRDefault="00000000">
            <w:pPr>
              <w:jc w:val="center"/>
              <w:rPr>
                <w:sz w:val="22"/>
                <w:szCs w:val="22"/>
                <w:lang w:val="en-GB"/>
              </w:rPr>
            </w:pPr>
            <w:r>
              <w:rPr>
                <w:sz w:val="22"/>
                <w:szCs w:val="22"/>
                <w:lang w:val="en-GB"/>
              </w:rPr>
              <w:t>10.2</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1995</w:t>
            </w:r>
          </w:p>
        </w:tc>
        <w:tc>
          <w:tcPr>
            <w:tcW w:w="2855" w:type="dxa"/>
          </w:tcPr>
          <w:p w:rsidR="00000000" w:rsidRDefault="00000000">
            <w:pPr>
              <w:jc w:val="center"/>
              <w:rPr>
                <w:sz w:val="22"/>
                <w:szCs w:val="22"/>
                <w:lang w:val="en-GB"/>
              </w:rPr>
            </w:pPr>
            <w:r>
              <w:rPr>
                <w:sz w:val="22"/>
                <w:szCs w:val="22"/>
                <w:lang w:val="en-GB"/>
              </w:rPr>
              <w:t>449</w:t>
            </w:r>
          </w:p>
        </w:tc>
        <w:tc>
          <w:tcPr>
            <w:tcW w:w="3103" w:type="dxa"/>
          </w:tcPr>
          <w:p w:rsidR="00000000" w:rsidRDefault="00000000">
            <w:pPr>
              <w:jc w:val="center"/>
              <w:rPr>
                <w:sz w:val="22"/>
                <w:szCs w:val="22"/>
                <w:lang w:val="en-GB"/>
              </w:rPr>
            </w:pPr>
            <w:r>
              <w:rPr>
                <w:sz w:val="22"/>
                <w:szCs w:val="22"/>
                <w:lang w:val="en-GB"/>
              </w:rPr>
              <w:t>8.9</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1996</w:t>
            </w:r>
          </w:p>
        </w:tc>
        <w:tc>
          <w:tcPr>
            <w:tcW w:w="2855" w:type="dxa"/>
          </w:tcPr>
          <w:p w:rsidR="00000000" w:rsidRDefault="00000000">
            <w:pPr>
              <w:jc w:val="center"/>
              <w:rPr>
                <w:sz w:val="22"/>
                <w:szCs w:val="22"/>
                <w:lang w:val="en-GB"/>
              </w:rPr>
            </w:pPr>
            <w:r>
              <w:rPr>
                <w:sz w:val="22"/>
                <w:szCs w:val="22"/>
                <w:lang w:val="en-GB"/>
              </w:rPr>
              <w:t>433</w:t>
            </w:r>
          </w:p>
        </w:tc>
        <w:tc>
          <w:tcPr>
            <w:tcW w:w="3103" w:type="dxa"/>
          </w:tcPr>
          <w:p w:rsidR="00000000" w:rsidRDefault="00000000">
            <w:pPr>
              <w:jc w:val="center"/>
              <w:rPr>
                <w:sz w:val="22"/>
                <w:szCs w:val="22"/>
                <w:lang w:val="en-GB"/>
              </w:rPr>
            </w:pPr>
            <w:r>
              <w:rPr>
                <w:sz w:val="22"/>
                <w:szCs w:val="22"/>
                <w:lang w:val="en-GB"/>
              </w:rPr>
              <w:t>8.0</w:t>
            </w:r>
          </w:p>
        </w:tc>
      </w:tr>
      <w:tr w:rsidR="00000000">
        <w:tblPrEx>
          <w:tblCellMar>
            <w:top w:w="0" w:type="dxa"/>
            <w:bottom w:w="0" w:type="dxa"/>
          </w:tblCellMar>
        </w:tblPrEx>
        <w:tc>
          <w:tcPr>
            <w:tcW w:w="3282" w:type="dxa"/>
          </w:tcPr>
          <w:p w:rsidR="00000000" w:rsidRDefault="00000000">
            <w:pPr>
              <w:jc w:val="center"/>
              <w:rPr>
                <w:sz w:val="22"/>
                <w:szCs w:val="22"/>
                <w:lang w:val="en-GB"/>
              </w:rPr>
            </w:pPr>
            <w:r>
              <w:rPr>
                <w:sz w:val="22"/>
                <w:szCs w:val="22"/>
                <w:lang w:val="en-GB"/>
              </w:rPr>
              <w:t>1997</w:t>
            </w:r>
          </w:p>
        </w:tc>
        <w:tc>
          <w:tcPr>
            <w:tcW w:w="2855" w:type="dxa"/>
          </w:tcPr>
          <w:p w:rsidR="00000000" w:rsidRDefault="00000000">
            <w:pPr>
              <w:jc w:val="center"/>
              <w:rPr>
                <w:sz w:val="22"/>
                <w:szCs w:val="22"/>
                <w:lang w:val="en-GB"/>
              </w:rPr>
            </w:pPr>
            <w:r>
              <w:rPr>
                <w:sz w:val="22"/>
                <w:szCs w:val="22"/>
                <w:lang w:val="en-GB"/>
              </w:rPr>
              <w:t>457</w:t>
            </w:r>
          </w:p>
        </w:tc>
        <w:tc>
          <w:tcPr>
            <w:tcW w:w="3103" w:type="dxa"/>
          </w:tcPr>
          <w:p w:rsidR="00000000" w:rsidRDefault="00000000">
            <w:pPr>
              <w:jc w:val="center"/>
              <w:rPr>
                <w:sz w:val="22"/>
                <w:szCs w:val="22"/>
                <w:lang w:val="en-GB"/>
              </w:rPr>
            </w:pPr>
            <w:r>
              <w:rPr>
                <w:sz w:val="22"/>
                <w:szCs w:val="22"/>
                <w:lang w:val="en-GB"/>
              </w:rPr>
              <w:t>8.2</w:t>
            </w:r>
          </w:p>
        </w:tc>
      </w:tr>
      <w:tr w:rsidR="00000000">
        <w:tblPrEx>
          <w:tblCellMar>
            <w:top w:w="0" w:type="dxa"/>
            <w:bottom w:w="0" w:type="dxa"/>
          </w:tblCellMar>
        </w:tblPrEx>
        <w:tc>
          <w:tcPr>
            <w:tcW w:w="3282" w:type="dxa"/>
            <w:tcBorders>
              <w:bottom w:val="single" w:sz="4" w:space="0" w:color="auto"/>
            </w:tcBorders>
          </w:tcPr>
          <w:p w:rsidR="00000000" w:rsidRDefault="00000000">
            <w:pPr>
              <w:jc w:val="center"/>
              <w:rPr>
                <w:sz w:val="22"/>
                <w:szCs w:val="22"/>
                <w:lang w:val="en-GB"/>
              </w:rPr>
            </w:pPr>
            <w:r>
              <w:rPr>
                <w:sz w:val="22"/>
                <w:szCs w:val="22"/>
                <w:lang w:val="en-GB"/>
              </w:rPr>
              <w:t>1998</w:t>
            </w:r>
          </w:p>
        </w:tc>
        <w:tc>
          <w:tcPr>
            <w:tcW w:w="2855" w:type="dxa"/>
            <w:tcBorders>
              <w:bottom w:val="single" w:sz="4" w:space="0" w:color="auto"/>
            </w:tcBorders>
          </w:tcPr>
          <w:p w:rsidR="00000000" w:rsidRDefault="00000000">
            <w:pPr>
              <w:jc w:val="center"/>
              <w:rPr>
                <w:sz w:val="22"/>
                <w:szCs w:val="22"/>
                <w:lang w:val="en-GB"/>
              </w:rPr>
            </w:pPr>
            <w:r>
              <w:rPr>
                <w:sz w:val="22"/>
                <w:szCs w:val="22"/>
                <w:lang w:val="en-GB"/>
              </w:rPr>
              <w:t>388</w:t>
            </w:r>
          </w:p>
        </w:tc>
        <w:tc>
          <w:tcPr>
            <w:tcW w:w="3103" w:type="dxa"/>
            <w:tcBorders>
              <w:bottom w:val="single" w:sz="4" w:space="0" w:color="auto"/>
            </w:tcBorders>
          </w:tcPr>
          <w:p w:rsidR="00000000" w:rsidRDefault="00000000">
            <w:pPr>
              <w:jc w:val="center"/>
              <w:rPr>
                <w:sz w:val="22"/>
                <w:szCs w:val="22"/>
                <w:lang w:val="en-GB"/>
              </w:rPr>
            </w:pPr>
            <w:r>
              <w:rPr>
                <w:sz w:val="22"/>
                <w:szCs w:val="22"/>
                <w:lang w:val="en-GB"/>
              </w:rPr>
              <w:t>8.2</w:t>
            </w:r>
          </w:p>
        </w:tc>
      </w:tr>
    </w:tbl>
    <w:p w:rsidR="00000000" w:rsidRDefault="00000000">
      <w:pPr>
        <w:spacing w:before="240" w:after="240"/>
        <w:rPr>
          <w:rFonts w:eastAsia="KaiTi_GB2312"/>
          <w:spacing w:val="0"/>
        </w:rPr>
      </w:pPr>
      <w:r>
        <w:rPr>
          <w:rFonts w:eastAsia="KaiTi_GB2312" w:hint="eastAsia"/>
          <w:spacing w:val="0"/>
        </w:rPr>
        <w:t>资料来源：国家统计局的资料。</w:t>
      </w:r>
    </w:p>
    <w:p w:rsidR="00000000" w:rsidRDefault="00000000">
      <w:pPr>
        <w:spacing w:before="240" w:after="240"/>
        <w:rPr>
          <w:rFonts w:eastAsia="KaiTi_GB2312"/>
          <w:spacing w:val="0"/>
        </w:rPr>
      </w:pPr>
      <w:r>
        <w:rPr>
          <w:rFonts w:eastAsia="KaiTi_GB2312"/>
          <w:spacing w:val="0"/>
        </w:rPr>
        <w:br w:type="page"/>
      </w:r>
    </w:p>
    <w:p w:rsidR="00000000" w:rsidRDefault="00000000">
      <w:pPr>
        <w:spacing w:before="240" w:after="240"/>
        <w:jc w:val="center"/>
        <w:rPr>
          <w:rFonts w:hint="eastAsia"/>
          <w:u w:val="single"/>
        </w:rPr>
      </w:pPr>
      <w:r>
        <w:rPr>
          <w:rFonts w:hint="eastAsia"/>
          <w:u w:val="single"/>
        </w:rPr>
        <w:t>表</w:t>
      </w:r>
      <w:r>
        <w:rPr>
          <w:rFonts w:hint="eastAsia"/>
          <w:u w:val="single"/>
        </w:rPr>
        <w:t xml:space="preserve">6.  </w:t>
      </w:r>
      <w:r>
        <w:rPr>
          <w:rFonts w:hint="eastAsia"/>
          <w:u w:val="single"/>
        </w:rPr>
        <w:t>按郡分列的</w:t>
      </w:r>
      <w:r>
        <w:rPr>
          <w:rFonts w:hint="eastAsia"/>
          <w:u w:val="single"/>
        </w:rPr>
        <w:t>1990-1998</w:t>
      </w:r>
      <w:r>
        <w:rPr>
          <w:rFonts w:hint="eastAsia"/>
          <w:u w:val="single"/>
        </w:rPr>
        <w:t>年期间克罗地亚婴儿死亡率</w:t>
      </w:r>
    </w:p>
    <w:tbl>
      <w:tblPr>
        <w:tblW w:w="0" w:type="auto"/>
        <w:tblLook w:val="0000" w:firstRow="0" w:lastRow="0" w:firstColumn="0" w:lastColumn="0" w:noHBand="0" w:noVBand="0"/>
      </w:tblPr>
      <w:tblGrid>
        <w:gridCol w:w="2592"/>
        <w:gridCol w:w="771"/>
        <w:gridCol w:w="730"/>
        <w:gridCol w:w="766"/>
        <w:gridCol w:w="735"/>
        <w:gridCol w:w="735"/>
        <w:gridCol w:w="748"/>
        <w:gridCol w:w="735"/>
        <w:gridCol w:w="735"/>
        <w:gridCol w:w="747"/>
      </w:tblGrid>
      <w:tr w:rsidR="00000000">
        <w:tblPrEx>
          <w:tblCellMar>
            <w:top w:w="0" w:type="dxa"/>
            <w:bottom w:w="0" w:type="dxa"/>
          </w:tblCellMar>
        </w:tblPrEx>
        <w:trPr>
          <w:cantSplit/>
        </w:trPr>
        <w:tc>
          <w:tcPr>
            <w:tcW w:w="2592" w:type="dxa"/>
            <w:tcBorders>
              <w:top w:val="single" w:sz="4" w:space="0" w:color="auto"/>
            </w:tcBorders>
          </w:tcPr>
          <w:p w:rsidR="00000000" w:rsidRDefault="00000000">
            <w:pPr>
              <w:rPr>
                <w:rFonts w:hint="eastAsia"/>
                <w:sz w:val="20"/>
              </w:rPr>
            </w:pPr>
          </w:p>
        </w:tc>
        <w:tc>
          <w:tcPr>
            <w:tcW w:w="6702" w:type="dxa"/>
            <w:gridSpan w:val="9"/>
            <w:tcBorders>
              <w:top w:val="single" w:sz="4" w:space="0" w:color="auto"/>
              <w:bottom w:val="single" w:sz="4" w:space="0" w:color="auto"/>
            </w:tcBorders>
          </w:tcPr>
          <w:p w:rsidR="00000000" w:rsidRDefault="00000000">
            <w:pPr>
              <w:rPr>
                <w:rFonts w:hint="eastAsia"/>
                <w:sz w:val="20"/>
              </w:rPr>
            </w:pPr>
            <w:r>
              <w:rPr>
                <w:rFonts w:hint="eastAsia"/>
                <w:sz w:val="20"/>
              </w:rPr>
              <w:t>每</w:t>
            </w:r>
            <w:r>
              <w:rPr>
                <w:rFonts w:hint="eastAsia"/>
                <w:sz w:val="20"/>
              </w:rPr>
              <w:t>1,000</w:t>
            </w:r>
            <w:r>
              <w:rPr>
                <w:rFonts w:hint="eastAsia"/>
                <w:sz w:val="20"/>
              </w:rPr>
              <w:t>名活产婴儿的婴儿死亡率</w:t>
            </w:r>
          </w:p>
        </w:tc>
      </w:tr>
      <w:tr w:rsidR="00000000">
        <w:tblPrEx>
          <w:tblCellMar>
            <w:top w:w="0" w:type="dxa"/>
            <w:bottom w:w="0" w:type="dxa"/>
          </w:tblCellMar>
        </w:tblPrEx>
        <w:tc>
          <w:tcPr>
            <w:tcW w:w="2592" w:type="dxa"/>
            <w:tcBorders>
              <w:bottom w:val="single" w:sz="4" w:space="0" w:color="auto"/>
            </w:tcBorders>
          </w:tcPr>
          <w:p w:rsidR="00000000" w:rsidRDefault="00000000">
            <w:pPr>
              <w:rPr>
                <w:rFonts w:hint="eastAsia"/>
                <w:sz w:val="20"/>
              </w:rPr>
            </w:pPr>
            <w:r>
              <w:rPr>
                <w:rFonts w:hint="eastAsia"/>
                <w:sz w:val="20"/>
              </w:rPr>
              <w:t>郡</w:t>
            </w:r>
          </w:p>
        </w:tc>
        <w:tc>
          <w:tcPr>
            <w:tcW w:w="771" w:type="dxa"/>
            <w:tcBorders>
              <w:top w:val="single" w:sz="4" w:space="0" w:color="auto"/>
              <w:bottom w:val="single" w:sz="4" w:space="0" w:color="auto"/>
            </w:tcBorders>
          </w:tcPr>
          <w:p w:rsidR="00000000" w:rsidRDefault="00000000">
            <w:pPr>
              <w:rPr>
                <w:rFonts w:hint="eastAsia"/>
                <w:sz w:val="20"/>
              </w:rPr>
            </w:pPr>
            <w:r>
              <w:rPr>
                <w:rFonts w:hint="eastAsia"/>
                <w:sz w:val="20"/>
              </w:rPr>
              <w:t>1990</w:t>
            </w:r>
          </w:p>
        </w:tc>
        <w:tc>
          <w:tcPr>
            <w:tcW w:w="730" w:type="dxa"/>
            <w:tcBorders>
              <w:top w:val="single" w:sz="4" w:space="0" w:color="auto"/>
              <w:bottom w:val="single" w:sz="4" w:space="0" w:color="auto"/>
            </w:tcBorders>
          </w:tcPr>
          <w:p w:rsidR="00000000" w:rsidRDefault="00000000">
            <w:pPr>
              <w:rPr>
                <w:rFonts w:hint="eastAsia"/>
                <w:sz w:val="20"/>
              </w:rPr>
            </w:pPr>
            <w:r>
              <w:rPr>
                <w:rFonts w:hint="eastAsia"/>
                <w:sz w:val="20"/>
              </w:rPr>
              <w:t>1991</w:t>
            </w:r>
          </w:p>
        </w:tc>
        <w:tc>
          <w:tcPr>
            <w:tcW w:w="766" w:type="dxa"/>
            <w:tcBorders>
              <w:top w:val="single" w:sz="4" w:space="0" w:color="auto"/>
              <w:bottom w:val="single" w:sz="4" w:space="0" w:color="auto"/>
            </w:tcBorders>
          </w:tcPr>
          <w:p w:rsidR="00000000" w:rsidRDefault="00000000">
            <w:pPr>
              <w:rPr>
                <w:rFonts w:hint="eastAsia"/>
                <w:sz w:val="20"/>
              </w:rPr>
            </w:pPr>
            <w:r>
              <w:rPr>
                <w:rFonts w:hint="eastAsia"/>
                <w:sz w:val="20"/>
              </w:rPr>
              <w:t>1992</w:t>
            </w:r>
          </w:p>
        </w:tc>
        <w:tc>
          <w:tcPr>
            <w:tcW w:w="735" w:type="dxa"/>
            <w:tcBorders>
              <w:top w:val="single" w:sz="4" w:space="0" w:color="auto"/>
              <w:bottom w:val="single" w:sz="4" w:space="0" w:color="auto"/>
            </w:tcBorders>
          </w:tcPr>
          <w:p w:rsidR="00000000" w:rsidRDefault="00000000">
            <w:pPr>
              <w:rPr>
                <w:rFonts w:hint="eastAsia"/>
                <w:sz w:val="20"/>
              </w:rPr>
            </w:pPr>
            <w:r>
              <w:rPr>
                <w:rFonts w:hint="eastAsia"/>
                <w:sz w:val="20"/>
              </w:rPr>
              <w:t>1993</w:t>
            </w:r>
          </w:p>
        </w:tc>
        <w:tc>
          <w:tcPr>
            <w:tcW w:w="735" w:type="dxa"/>
            <w:tcBorders>
              <w:top w:val="single" w:sz="4" w:space="0" w:color="auto"/>
              <w:bottom w:val="single" w:sz="4" w:space="0" w:color="auto"/>
            </w:tcBorders>
          </w:tcPr>
          <w:p w:rsidR="00000000" w:rsidRDefault="00000000">
            <w:pPr>
              <w:rPr>
                <w:rFonts w:hint="eastAsia"/>
                <w:sz w:val="20"/>
              </w:rPr>
            </w:pPr>
            <w:r>
              <w:rPr>
                <w:rFonts w:hint="eastAsia"/>
                <w:sz w:val="20"/>
              </w:rPr>
              <w:t>1994</w:t>
            </w:r>
          </w:p>
        </w:tc>
        <w:tc>
          <w:tcPr>
            <w:tcW w:w="748" w:type="dxa"/>
            <w:tcBorders>
              <w:top w:val="single" w:sz="4" w:space="0" w:color="auto"/>
              <w:bottom w:val="single" w:sz="4" w:space="0" w:color="auto"/>
            </w:tcBorders>
          </w:tcPr>
          <w:p w:rsidR="00000000" w:rsidRDefault="00000000">
            <w:pPr>
              <w:rPr>
                <w:rFonts w:hint="eastAsia"/>
                <w:sz w:val="20"/>
              </w:rPr>
            </w:pPr>
            <w:r>
              <w:rPr>
                <w:rFonts w:hint="eastAsia"/>
                <w:sz w:val="20"/>
              </w:rPr>
              <w:t>1995</w:t>
            </w:r>
          </w:p>
        </w:tc>
        <w:tc>
          <w:tcPr>
            <w:tcW w:w="735" w:type="dxa"/>
            <w:tcBorders>
              <w:top w:val="single" w:sz="4" w:space="0" w:color="auto"/>
              <w:bottom w:val="single" w:sz="4" w:space="0" w:color="auto"/>
            </w:tcBorders>
          </w:tcPr>
          <w:p w:rsidR="00000000" w:rsidRDefault="00000000">
            <w:pPr>
              <w:rPr>
                <w:rFonts w:hint="eastAsia"/>
                <w:sz w:val="20"/>
              </w:rPr>
            </w:pPr>
            <w:r>
              <w:rPr>
                <w:rFonts w:hint="eastAsia"/>
                <w:sz w:val="20"/>
              </w:rPr>
              <w:t>1996</w:t>
            </w:r>
          </w:p>
        </w:tc>
        <w:tc>
          <w:tcPr>
            <w:tcW w:w="735" w:type="dxa"/>
            <w:tcBorders>
              <w:top w:val="single" w:sz="4" w:space="0" w:color="auto"/>
              <w:bottom w:val="single" w:sz="4" w:space="0" w:color="auto"/>
            </w:tcBorders>
          </w:tcPr>
          <w:p w:rsidR="00000000" w:rsidRDefault="00000000">
            <w:pPr>
              <w:rPr>
                <w:rFonts w:hint="eastAsia"/>
                <w:sz w:val="20"/>
              </w:rPr>
            </w:pPr>
            <w:r>
              <w:rPr>
                <w:rFonts w:hint="eastAsia"/>
                <w:sz w:val="20"/>
              </w:rPr>
              <w:t>1997</w:t>
            </w:r>
          </w:p>
        </w:tc>
        <w:tc>
          <w:tcPr>
            <w:tcW w:w="747" w:type="dxa"/>
            <w:tcBorders>
              <w:top w:val="single" w:sz="4" w:space="0" w:color="auto"/>
              <w:bottom w:val="single" w:sz="4" w:space="0" w:color="auto"/>
            </w:tcBorders>
          </w:tcPr>
          <w:p w:rsidR="00000000" w:rsidRDefault="00000000">
            <w:pPr>
              <w:rPr>
                <w:rFonts w:hint="eastAsia"/>
                <w:sz w:val="20"/>
              </w:rPr>
            </w:pPr>
            <w:r>
              <w:rPr>
                <w:rFonts w:hint="eastAsia"/>
                <w:sz w:val="20"/>
              </w:rPr>
              <w:t>1998</w:t>
            </w:r>
          </w:p>
        </w:tc>
      </w:tr>
      <w:tr w:rsidR="00000000">
        <w:tblPrEx>
          <w:tblCellMar>
            <w:top w:w="0" w:type="dxa"/>
            <w:bottom w:w="0" w:type="dxa"/>
          </w:tblCellMar>
        </w:tblPrEx>
        <w:tc>
          <w:tcPr>
            <w:tcW w:w="2592" w:type="dxa"/>
            <w:tcBorders>
              <w:top w:val="single" w:sz="4" w:space="0" w:color="auto"/>
            </w:tcBorders>
          </w:tcPr>
          <w:p w:rsidR="00000000" w:rsidRDefault="00000000">
            <w:pPr>
              <w:spacing w:before="120"/>
              <w:rPr>
                <w:sz w:val="18"/>
                <w:szCs w:val="18"/>
                <w:lang w:val="en-GB"/>
              </w:rPr>
            </w:pPr>
            <w:r>
              <w:rPr>
                <w:sz w:val="18"/>
                <w:szCs w:val="18"/>
                <w:lang w:val="en-GB"/>
              </w:rPr>
              <w:t>City of Zagreb</w:t>
            </w:r>
          </w:p>
        </w:tc>
        <w:tc>
          <w:tcPr>
            <w:tcW w:w="771" w:type="dxa"/>
            <w:tcBorders>
              <w:top w:val="single" w:sz="4" w:space="0" w:color="auto"/>
            </w:tcBorders>
          </w:tcPr>
          <w:p w:rsidR="00000000" w:rsidRDefault="00000000">
            <w:pPr>
              <w:spacing w:before="120"/>
              <w:rPr>
                <w:sz w:val="18"/>
                <w:szCs w:val="18"/>
                <w:lang w:val="en-GB"/>
              </w:rPr>
            </w:pPr>
            <w:r>
              <w:rPr>
                <w:sz w:val="18"/>
                <w:szCs w:val="18"/>
                <w:lang w:val="en-GB"/>
              </w:rPr>
              <w:t>8.9</w:t>
            </w:r>
          </w:p>
        </w:tc>
        <w:tc>
          <w:tcPr>
            <w:tcW w:w="730" w:type="dxa"/>
            <w:tcBorders>
              <w:top w:val="single" w:sz="4" w:space="0" w:color="auto"/>
            </w:tcBorders>
          </w:tcPr>
          <w:p w:rsidR="00000000" w:rsidRDefault="00000000">
            <w:pPr>
              <w:spacing w:before="120"/>
              <w:rPr>
                <w:sz w:val="18"/>
                <w:szCs w:val="18"/>
                <w:lang w:val="en-GB"/>
              </w:rPr>
            </w:pPr>
            <w:r>
              <w:rPr>
                <w:sz w:val="18"/>
                <w:szCs w:val="18"/>
                <w:lang w:val="en-GB"/>
              </w:rPr>
              <w:t>8.7</w:t>
            </w:r>
          </w:p>
        </w:tc>
        <w:tc>
          <w:tcPr>
            <w:tcW w:w="766" w:type="dxa"/>
            <w:tcBorders>
              <w:top w:val="single" w:sz="4" w:space="0" w:color="auto"/>
            </w:tcBorders>
          </w:tcPr>
          <w:p w:rsidR="00000000" w:rsidRDefault="00000000">
            <w:pPr>
              <w:spacing w:before="120"/>
              <w:rPr>
                <w:sz w:val="18"/>
                <w:szCs w:val="18"/>
                <w:lang w:val="en-GB"/>
              </w:rPr>
            </w:pPr>
            <w:r>
              <w:rPr>
                <w:sz w:val="18"/>
                <w:szCs w:val="18"/>
                <w:lang w:val="en-GB"/>
              </w:rPr>
              <w:t>9.6</w:t>
            </w:r>
          </w:p>
        </w:tc>
        <w:tc>
          <w:tcPr>
            <w:tcW w:w="735" w:type="dxa"/>
            <w:tcBorders>
              <w:top w:val="single" w:sz="4" w:space="0" w:color="auto"/>
            </w:tcBorders>
          </w:tcPr>
          <w:p w:rsidR="00000000" w:rsidRDefault="00000000">
            <w:pPr>
              <w:spacing w:before="120"/>
              <w:rPr>
                <w:sz w:val="18"/>
                <w:szCs w:val="18"/>
                <w:lang w:val="en-GB"/>
              </w:rPr>
            </w:pPr>
            <w:r>
              <w:rPr>
                <w:sz w:val="18"/>
                <w:szCs w:val="18"/>
                <w:lang w:val="en-GB"/>
              </w:rPr>
              <w:t>8.0</w:t>
            </w:r>
          </w:p>
        </w:tc>
        <w:tc>
          <w:tcPr>
            <w:tcW w:w="735" w:type="dxa"/>
            <w:tcBorders>
              <w:top w:val="single" w:sz="4" w:space="0" w:color="auto"/>
            </w:tcBorders>
          </w:tcPr>
          <w:p w:rsidR="00000000" w:rsidRDefault="00000000">
            <w:pPr>
              <w:spacing w:before="120"/>
              <w:rPr>
                <w:sz w:val="18"/>
                <w:szCs w:val="18"/>
                <w:lang w:val="en-GB"/>
              </w:rPr>
            </w:pPr>
            <w:r>
              <w:rPr>
                <w:sz w:val="18"/>
                <w:szCs w:val="18"/>
                <w:lang w:val="en-GB"/>
              </w:rPr>
              <w:t>10.2</w:t>
            </w:r>
          </w:p>
        </w:tc>
        <w:tc>
          <w:tcPr>
            <w:tcW w:w="748" w:type="dxa"/>
            <w:tcBorders>
              <w:top w:val="single" w:sz="4" w:space="0" w:color="auto"/>
            </w:tcBorders>
          </w:tcPr>
          <w:p w:rsidR="00000000" w:rsidRDefault="00000000">
            <w:pPr>
              <w:spacing w:before="120"/>
              <w:rPr>
                <w:sz w:val="18"/>
                <w:szCs w:val="18"/>
                <w:lang w:val="en-GB"/>
              </w:rPr>
            </w:pPr>
            <w:r>
              <w:rPr>
                <w:sz w:val="18"/>
                <w:szCs w:val="18"/>
                <w:lang w:val="en-GB"/>
              </w:rPr>
              <w:t>-</w:t>
            </w:r>
          </w:p>
        </w:tc>
        <w:tc>
          <w:tcPr>
            <w:tcW w:w="735" w:type="dxa"/>
            <w:tcBorders>
              <w:top w:val="single" w:sz="4" w:space="0" w:color="auto"/>
            </w:tcBorders>
          </w:tcPr>
          <w:p w:rsidR="00000000" w:rsidRDefault="00000000">
            <w:pPr>
              <w:spacing w:before="120"/>
              <w:rPr>
                <w:sz w:val="18"/>
                <w:szCs w:val="18"/>
                <w:lang w:val="en-GB"/>
              </w:rPr>
            </w:pPr>
            <w:r>
              <w:rPr>
                <w:sz w:val="18"/>
                <w:szCs w:val="18"/>
                <w:lang w:val="en-GB"/>
              </w:rPr>
              <w:t>8.5</w:t>
            </w:r>
          </w:p>
        </w:tc>
        <w:tc>
          <w:tcPr>
            <w:tcW w:w="735" w:type="dxa"/>
            <w:tcBorders>
              <w:top w:val="single" w:sz="4" w:space="0" w:color="auto"/>
            </w:tcBorders>
          </w:tcPr>
          <w:p w:rsidR="00000000" w:rsidRDefault="00000000">
            <w:pPr>
              <w:spacing w:before="120"/>
              <w:rPr>
                <w:sz w:val="18"/>
                <w:szCs w:val="18"/>
                <w:lang w:val="en-GB"/>
              </w:rPr>
            </w:pPr>
            <w:r>
              <w:rPr>
                <w:sz w:val="18"/>
                <w:szCs w:val="18"/>
                <w:lang w:val="en-GB"/>
              </w:rPr>
              <w:t>7.9</w:t>
            </w:r>
          </w:p>
        </w:tc>
        <w:tc>
          <w:tcPr>
            <w:tcW w:w="747" w:type="dxa"/>
            <w:tcBorders>
              <w:top w:val="single" w:sz="4" w:space="0" w:color="auto"/>
            </w:tcBorders>
          </w:tcPr>
          <w:p w:rsidR="00000000" w:rsidRDefault="00000000">
            <w:pPr>
              <w:spacing w:before="120"/>
              <w:rPr>
                <w:sz w:val="18"/>
                <w:szCs w:val="18"/>
                <w:lang w:val="en-GB"/>
              </w:rPr>
            </w:pPr>
            <w:r>
              <w:rPr>
                <w:sz w:val="18"/>
                <w:szCs w:val="18"/>
                <w:lang w:val="en-GB"/>
              </w:rPr>
              <w:t>8.5</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Zagreba</w:t>
            </w:r>
            <w:r>
              <w:rPr>
                <w:sz w:val="21"/>
                <w:szCs w:val="21"/>
                <w:lang w:val="en-GB"/>
              </w:rPr>
              <w:t>č</w:t>
            </w:r>
            <w:r>
              <w:rPr>
                <w:sz w:val="18"/>
                <w:szCs w:val="18"/>
                <w:lang w:val="en-GB"/>
              </w:rPr>
              <w:t>ka</w:t>
            </w:r>
          </w:p>
        </w:tc>
        <w:tc>
          <w:tcPr>
            <w:tcW w:w="771" w:type="dxa"/>
          </w:tcPr>
          <w:p w:rsidR="00000000" w:rsidRDefault="00000000">
            <w:pPr>
              <w:rPr>
                <w:sz w:val="18"/>
                <w:szCs w:val="18"/>
                <w:lang w:val="en-GB"/>
              </w:rPr>
            </w:pPr>
            <w:r>
              <w:rPr>
                <w:sz w:val="18"/>
                <w:szCs w:val="18"/>
                <w:lang w:val="en-GB"/>
              </w:rPr>
              <w:t>4.8</w:t>
            </w:r>
          </w:p>
        </w:tc>
        <w:tc>
          <w:tcPr>
            <w:tcW w:w="730" w:type="dxa"/>
          </w:tcPr>
          <w:p w:rsidR="00000000" w:rsidRDefault="00000000">
            <w:pPr>
              <w:rPr>
                <w:sz w:val="18"/>
                <w:szCs w:val="18"/>
                <w:lang w:val="en-GB"/>
              </w:rPr>
            </w:pPr>
            <w:r>
              <w:rPr>
                <w:sz w:val="18"/>
                <w:szCs w:val="18"/>
                <w:lang w:val="en-GB"/>
              </w:rPr>
              <w:t>7.6</w:t>
            </w:r>
          </w:p>
        </w:tc>
        <w:tc>
          <w:tcPr>
            <w:tcW w:w="766" w:type="dxa"/>
          </w:tcPr>
          <w:p w:rsidR="00000000" w:rsidRDefault="00000000">
            <w:pPr>
              <w:rPr>
                <w:sz w:val="18"/>
                <w:szCs w:val="18"/>
                <w:lang w:val="en-GB"/>
              </w:rPr>
            </w:pPr>
            <w:r>
              <w:rPr>
                <w:sz w:val="18"/>
                <w:szCs w:val="18"/>
                <w:lang w:val="en-GB"/>
              </w:rPr>
              <w:t>7.4</w:t>
            </w:r>
          </w:p>
        </w:tc>
        <w:tc>
          <w:tcPr>
            <w:tcW w:w="735" w:type="dxa"/>
          </w:tcPr>
          <w:p w:rsidR="00000000" w:rsidRDefault="00000000">
            <w:pPr>
              <w:rPr>
                <w:sz w:val="18"/>
                <w:szCs w:val="18"/>
                <w:lang w:val="en-GB"/>
              </w:rPr>
            </w:pPr>
            <w:r>
              <w:rPr>
                <w:sz w:val="18"/>
                <w:szCs w:val="18"/>
                <w:lang w:val="en-GB"/>
              </w:rPr>
              <w:t>10.1</w:t>
            </w:r>
          </w:p>
        </w:tc>
        <w:tc>
          <w:tcPr>
            <w:tcW w:w="735" w:type="dxa"/>
          </w:tcPr>
          <w:p w:rsidR="00000000" w:rsidRDefault="00000000">
            <w:pPr>
              <w:rPr>
                <w:sz w:val="18"/>
                <w:szCs w:val="18"/>
                <w:lang w:val="en-GB"/>
              </w:rPr>
            </w:pPr>
            <w:r>
              <w:rPr>
                <w:sz w:val="18"/>
                <w:szCs w:val="18"/>
                <w:lang w:val="en-GB"/>
              </w:rPr>
              <w:t>6.7</w:t>
            </w:r>
          </w:p>
        </w:tc>
        <w:tc>
          <w:tcPr>
            <w:tcW w:w="748" w:type="dxa"/>
          </w:tcPr>
          <w:p w:rsidR="00000000" w:rsidRDefault="00000000">
            <w:pPr>
              <w:rPr>
                <w:sz w:val="18"/>
                <w:szCs w:val="18"/>
                <w:lang w:val="en-GB"/>
              </w:rPr>
            </w:pPr>
            <w:r>
              <w:rPr>
                <w:sz w:val="18"/>
                <w:szCs w:val="18"/>
                <w:lang w:val="en-GB"/>
              </w:rPr>
              <w:t>6.9</w:t>
            </w:r>
          </w:p>
        </w:tc>
        <w:tc>
          <w:tcPr>
            <w:tcW w:w="735" w:type="dxa"/>
          </w:tcPr>
          <w:p w:rsidR="00000000" w:rsidRDefault="00000000">
            <w:pPr>
              <w:rPr>
                <w:sz w:val="18"/>
                <w:szCs w:val="18"/>
                <w:lang w:val="en-GB"/>
              </w:rPr>
            </w:pPr>
            <w:r>
              <w:rPr>
                <w:sz w:val="18"/>
                <w:szCs w:val="18"/>
                <w:lang w:val="en-GB"/>
              </w:rPr>
              <w:t>6.8</w:t>
            </w:r>
          </w:p>
        </w:tc>
        <w:tc>
          <w:tcPr>
            <w:tcW w:w="735" w:type="dxa"/>
          </w:tcPr>
          <w:p w:rsidR="00000000" w:rsidRDefault="00000000">
            <w:pPr>
              <w:rPr>
                <w:sz w:val="18"/>
                <w:szCs w:val="18"/>
                <w:lang w:val="en-GB"/>
              </w:rPr>
            </w:pPr>
            <w:r>
              <w:rPr>
                <w:sz w:val="18"/>
                <w:szCs w:val="18"/>
                <w:lang w:val="en-GB"/>
              </w:rPr>
              <w:t>8.5</w:t>
            </w:r>
          </w:p>
        </w:tc>
        <w:tc>
          <w:tcPr>
            <w:tcW w:w="747" w:type="dxa"/>
          </w:tcPr>
          <w:p w:rsidR="00000000" w:rsidRDefault="00000000">
            <w:pPr>
              <w:rPr>
                <w:sz w:val="18"/>
                <w:szCs w:val="18"/>
                <w:lang w:val="en-GB"/>
              </w:rPr>
            </w:pPr>
            <w:r>
              <w:rPr>
                <w:sz w:val="18"/>
                <w:szCs w:val="18"/>
                <w:lang w:val="en-GB"/>
              </w:rPr>
              <w:t>7.7</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Krapinsko-zagorska</w:t>
            </w:r>
          </w:p>
        </w:tc>
        <w:tc>
          <w:tcPr>
            <w:tcW w:w="771" w:type="dxa"/>
          </w:tcPr>
          <w:p w:rsidR="00000000" w:rsidRDefault="00000000">
            <w:pPr>
              <w:rPr>
                <w:sz w:val="18"/>
                <w:szCs w:val="18"/>
                <w:lang w:val="en-GB"/>
              </w:rPr>
            </w:pPr>
            <w:r>
              <w:rPr>
                <w:sz w:val="18"/>
                <w:szCs w:val="18"/>
                <w:lang w:val="en-GB"/>
              </w:rPr>
              <w:t>10.7</w:t>
            </w:r>
          </w:p>
        </w:tc>
        <w:tc>
          <w:tcPr>
            <w:tcW w:w="730" w:type="dxa"/>
          </w:tcPr>
          <w:p w:rsidR="00000000" w:rsidRDefault="00000000">
            <w:pPr>
              <w:rPr>
                <w:sz w:val="18"/>
                <w:szCs w:val="18"/>
                <w:lang w:val="en-GB"/>
              </w:rPr>
            </w:pPr>
            <w:r>
              <w:rPr>
                <w:sz w:val="18"/>
                <w:szCs w:val="18"/>
                <w:lang w:val="en-GB"/>
              </w:rPr>
              <w:t>9.4</w:t>
            </w:r>
          </w:p>
        </w:tc>
        <w:tc>
          <w:tcPr>
            <w:tcW w:w="766" w:type="dxa"/>
          </w:tcPr>
          <w:p w:rsidR="00000000" w:rsidRDefault="00000000">
            <w:pPr>
              <w:rPr>
                <w:sz w:val="18"/>
                <w:szCs w:val="18"/>
                <w:lang w:val="en-GB"/>
              </w:rPr>
            </w:pPr>
            <w:r>
              <w:rPr>
                <w:sz w:val="18"/>
                <w:szCs w:val="18"/>
                <w:lang w:val="en-GB"/>
              </w:rPr>
              <w:t>9.4</w:t>
            </w:r>
          </w:p>
        </w:tc>
        <w:tc>
          <w:tcPr>
            <w:tcW w:w="735" w:type="dxa"/>
          </w:tcPr>
          <w:p w:rsidR="00000000" w:rsidRDefault="00000000">
            <w:pPr>
              <w:rPr>
                <w:sz w:val="18"/>
                <w:szCs w:val="18"/>
                <w:lang w:val="en-GB"/>
              </w:rPr>
            </w:pPr>
            <w:r>
              <w:rPr>
                <w:sz w:val="18"/>
                <w:szCs w:val="18"/>
                <w:lang w:val="en-GB"/>
              </w:rPr>
              <w:t>9.3</w:t>
            </w:r>
          </w:p>
        </w:tc>
        <w:tc>
          <w:tcPr>
            <w:tcW w:w="735" w:type="dxa"/>
          </w:tcPr>
          <w:p w:rsidR="00000000" w:rsidRDefault="00000000">
            <w:pPr>
              <w:rPr>
                <w:sz w:val="18"/>
                <w:szCs w:val="18"/>
                <w:lang w:val="en-GB"/>
              </w:rPr>
            </w:pPr>
            <w:r>
              <w:rPr>
                <w:sz w:val="18"/>
                <w:szCs w:val="18"/>
                <w:lang w:val="en-GB"/>
              </w:rPr>
              <w:t>8.6</w:t>
            </w:r>
          </w:p>
        </w:tc>
        <w:tc>
          <w:tcPr>
            <w:tcW w:w="748" w:type="dxa"/>
          </w:tcPr>
          <w:p w:rsidR="00000000" w:rsidRDefault="00000000">
            <w:pPr>
              <w:rPr>
                <w:sz w:val="18"/>
                <w:szCs w:val="18"/>
                <w:lang w:val="en-GB"/>
              </w:rPr>
            </w:pPr>
            <w:r>
              <w:rPr>
                <w:sz w:val="18"/>
                <w:szCs w:val="18"/>
                <w:lang w:val="en-GB"/>
              </w:rPr>
              <w:t>9.7</w:t>
            </w:r>
          </w:p>
        </w:tc>
        <w:tc>
          <w:tcPr>
            <w:tcW w:w="735" w:type="dxa"/>
          </w:tcPr>
          <w:p w:rsidR="00000000" w:rsidRDefault="00000000">
            <w:pPr>
              <w:rPr>
                <w:sz w:val="18"/>
                <w:szCs w:val="18"/>
                <w:lang w:val="en-GB"/>
              </w:rPr>
            </w:pPr>
            <w:r>
              <w:rPr>
                <w:sz w:val="18"/>
                <w:szCs w:val="18"/>
                <w:lang w:val="en-GB"/>
              </w:rPr>
              <w:t>5.5</w:t>
            </w:r>
          </w:p>
        </w:tc>
        <w:tc>
          <w:tcPr>
            <w:tcW w:w="735" w:type="dxa"/>
          </w:tcPr>
          <w:p w:rsidR="00000000" w:rsidRDefault="00000000">
            <w:pPr>
              <w:rPr>
                <w:sz w:val="18"/>
                <w:szCs w:val="18"/>
                <w:lang w:val="en-GB"/>
              </w:rPr>
            </w:pPr>
            <w:r>
              <w:rPr>
                <w:sz w:val="18"/>
                <w:szCs w:val="18"/>
                <w:lang w:val="en-GB"/>
              </w:rPr>
              <w:t>10.7</w:t>
            </w:r>
          </w:p>
        </w:tc>
        <w:tc>
          <w:tcPr>
            <w:tcW w:w="747" w:type="dxa"/>
          </w:tcPr>
          <w:p w:rsidR="00000000" w:rsidRDefault="00000000">
            <w:pPr>
              <w:rPr>
                <w:sz w:val="18"/>
                <w:szCs w:val="18"/>
                <w:lang w:val="en-GB"/>
              </w:rPr>
            </w:pPr>
            <w:r>
              <w:rPr>
                <w:sz w:val="18"/>
                <w:szCs w:val="18"/>
                <w:lang w:val="en-GB"/>
              </w:rPr>
              <w:t>3.3</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Sisa</w:t>
            </w:r>
            <w:r>
              <w:rPr>
                <w:sz w:val="21"/>
                <w:szCs w:val="21"/>
                <w:lang w:val="en-GB"/>
              </w:rPr>
              <w:t>č</w:t>
            </w:r>
            <w:r>
              <w:rPr>
                <w:sz w:val="18"/>
                <w:szCs w:val="18"/>
                <w:lang w:val="en-GB"/>
              </w:rPr>
              <w:t>ko-moslava</w:t>
            </w:r>
            <w:r>
              <w:rPr>
                <w:sz w:val="21"/>
                <w:szCs w:val="21"/>
                <w:lang w:val="en-GB"/>
              </w:rPr>
              <w:t>č</w:t>
            </w:r>
            <w:r>
              <w:rPr>
                <w:sz w:val="18"/>
                <w:szCs w:val="18"/>
                <w:lang w:val="en-GB"/>
              </w:rPr>
              <w:t>ka</w:t>
            </w:r>
          </w:p>
        </w:tc>
        <w:tc>
          <w:tcPr>
            <w:tcW w:w="771" w:type="dxa"/>
          </w:tcPr>
          <w:p w:rsidR="00000000" w:rsidRDefault="00000000">
            <w:pPr>
              <w:rPr>
                <w:sz w:val="18"/>
                <w:szCs w:val="18"/>
                <w:lang w:val="en-GB"/>
              </w:rPr>
            </w:pPr>
            <w:r>
              <w:rPr>
                <w:sz w:val="18"/>
                <w:szCs w:val="18"/>
                <w:lang w:val="en-GB"/>
              </w:rPr>
              <w:t>11.3</w:t>
            </w:r>
          </w:p>
        </w:tc>
        <w:tc>
          <w:tcPr>
            <w:tcW w:w="730" w:type="dxa"/>
          </w:tcPr>
          <w:p w:rsidR="00000000" w:rsidRDefault="00000000">
            <w:pPr>
              <w:rPr>
                <w:sz w:val="18"/>
                <w:szCs w:val="18"/>
                <w:lang w:val="en-GB"/>
              </w:rPr>
            </w:pPr>
            <w:r>
              <w:rPr>
                <w:sz w:val="18"/>
                <w:szCs w:val="18"/>
                <w:lang w:val="en-GB"/>
              </w:rPr>
              <w:t>9.3</w:t>
            </w:r>
          </w:p>
        </w:tc>
        <w:tc>
          <w:tcPr>
            <w:tcW w:w="766" w:type="dxa"/>
          </w:tcPr>
          <w:p w:rsidR="00000000" w:rsidRDefault="00000000">
            <w:pPr>
              <w:rPr>
                <w:sz w:val="18"/>
                <w:szCs w:val="18"/>
                <w:lang w:val="en-GB"/>
              </w:rPr>
            </w:pPr>
            <w:r>
              <w:rPr>
                <w:sz w:val="18"/>
                <w:szCs w:val="18"/>
                <w:lang w:val="en-GB"/>
              </w:rPr>
              <w:t>6.0</w:t>
            </w:r>
          </w:p>
        </w:tc>
        <w:tc>
          <w:tcPr>
            <w:tcW w:w="735" w:type="dxa"/>
          </w:tcPr>
          <w:p w:rsidR="00000000" w:rsidRDefault="00000000">
            <w:pPr>
              <w:rPr>
                <w:sz w:val="18"/>
                <w:szCs w:val="18"/>
                <w:lang w:val="en-GB"/>
              </w:rPr>
            </w:pPr>
            <w:r>
              <w:rPr>
                <w:sz w:val="18"/>
                <w:szCs w:val="18"/>
                <w:lang w:val="en-GB"/>
              </w:rPr>
              <w:t>9.5</w:t>
            </w:r>
          </w:p>
        </w:tc>
        <w:tc>
          <w:tcPr>
            <w:tcW w:w="735" w:type="dxa"/>
          </w:tcPr>
          <w:p w:rsidR="00000000" w:rsidRDefault="00000000">
            <w:pPr>
              <w:rPr>
                <w:sz w:val="18"/>
                <w:szCs w:val="18"/>
                <w:lang w:val="en-GB"/>
              </w:rPr>
            </w:pPr>
            <w:r>
              <w:rPr>
                <w:sz w:val="18"/>
                <w:szCs w:val="18"/>
                <w:lang w:val="en-GB"/>
              </w:rPr>
              <w:t>4.3</w:t>
            </w:r>
          </w:p>
        </w:tc>
        <w:tc>
          <w:tcPr>
            <w:tcW w:w="748" w:type="dxa"/>
          </w:tcPr>
          <w:p w:rsidR="00000000" w:rsidRDefault="00000000">
            <w:pPr>
              <w:rPr>
                <w:sz w:val="18"/>
                <w:szCs w:val="18"/>
                <w:lang w:val="en-GB"/>
              </w:rPr>
            </w:pPr>
            <w:r>
              <w:rPr>
                <w:sz w:val="18"/>
                <w:szCs w:val="18"/>
                <w:lang w:val="en-GB"/>
              </w:rPr>
              <w:t>10.6</w:t>
            </w:r>
          </w:p>
        </w:tc>
        <w:tc>
          <w:tcPr>
            <w:tcW w:w="735" w:type="dxa"/>
          </w:tcPr>
          <w:p w:rsidR="00000000" w:rsidRDefault="00000000">
            <w:pPr>
              <w:rPr>
                <w:sz w:val="18"/>
                <w:szCs w:val="18"/>
                <w:lang w:val="en-GB"/>
              </w:rPr>
            </w:pPr>
            <w:r>
              <w:rPr>
                <w:sz w:val="18"/>
                <w:szCs w:val="18"/>
                <w:lang w:val="en-GB"/>
              </w:rPr>
              <w:t>8.0</w:t>
            </w:r>
          </w:p>
        </w:tc>
        <w:tc>
          <w:tcPr>
            <w:tcW w:w="735" w:type="dxa"/>
          </w:tcPr>
          <w:p w:rsidR="00000000" w:rsidRDefault="00000000">
            <w:pPr>
              <w:rPr>
                <w:sz w:val="18"/>
                <w:szCs w:val="18"/>
                <w:lang w:val="en-GB"/>
              </w:rPr>
            </w:pPr>
            <w:r>
              <w:rPr>
                <w:sz w:val="18"/>
                <w:szCs w:val="18"/>
                <w:lang w:val="en-GB"/>
              </w:rPr>
              <w:t>5.3</w:t>
            </w:r>
          </w:p>
        </w:tc>
        <w:tc>
          <w:tcPr>
            <w:tcW w:w="747" w:type="dxa"/>
          </w:tcPr>
          <w:p w:rsidR="00000000" w:rsidRDefault="00000000">
            <w:pPr>
              <w:rPr>
                <w:sz w:val="18"/>
                <w:szCs w:val="18"/>
                <w:lang w:val="en-GB"/>
              </w:rPr>
            </w:pPr>
            <w:r>
              <w:rPr>
                <w:sz w:val="18"/>
                <w:szCs w:val="18"/>
                <w:lang w:val="en-GB"/>
              </w:rPr>
              <w:t>9.2</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Karlova</w:t>
            </w:r>
            <w:r>
              <w:rPr>
                <w:sz w:val="21"/>
                <w:szCs w:val="21"/>
                <w:lang w:val="en-GB"/>
              </w:rPr>
              <w:t>č</w:t>
            </w:r>
            <w:r>
              <w:rPr>
                <w:sz w:val="18"/>
                <w:szCs w:val="18"/>
                <w:lang w:val="en-GB"/>
              </w:rPr>
              <w:t>ka</w:t>
            </w:r>
          </w:p>
        </w:tc>
        <w:tc>
          <w:tcPr>
            <w:tcW w:w="771" w:type="dxa"/>
          </w:tcPr>
          <w:p w:rsidR="00000000" w:rsidRDefault="00000000">
            <w:pPr>
              <w:rPr>
                <w:sz w:val="18"/>
                <w:szCs w:val="18"/>
                <w:lang w:val="en-GB"/>
              </w:rPr>
            </w:pPr>
            <w:r>
              <w:rPr>
                <w:sz w:val="18"/>
                <w:szCs w:val="18"/>
                <w:lang w:val="en-GB"/>
              </w:rPr>
              <w:t>7.0</w:t>
            </w:r>
          </w:p>
        </w:tc>
        <w:tc>
          <w:tcPr>
            <w:tcW w:w="730" w:type="dxa"/>
          </w:tcPr>
          <w:p w:rsidR="00000000" w:rsidRDefault="00000000">
            <w:pPr>
              <w:rPr>
                <w:sz w:val="18"/>
                <w:szCs w:val="18"/>
                <w:lang w:val="en-GB"/>
              </w:rPr>
            </w:pPr>
            <w:r>
              <w:rPr>
                <w:sz w:val="18"/>
                <w:szCs w:val="18"/>
                <w:lang w:val="en-GB"/>
              </w:rPr>
              <w:t>14.2</w:t>
            </w:r>
          </w:p>
        </w:tc>
        <w:tc>
          <w:tcPr>
            <w:tcW w:w="766" w:type="dxa"/>
          </w:tcPr>
          <w:p w:rsidR="00000000" w:rsidRDefault="00000000">
            <w:pPr>
              <w:rPr>
                <w:sz w:val="18"/>
                <w:szCs w:val="18"/>
                <w:lang w:val="en-GB"/>
              </w:rPr>
            </w:pPr>
            <w:r>
              <w:rPr>
                <w:sz w:val="18"/>
                <w:szCs w:val="18"/>
                <w:lang w:val="en-GB"/>
              </w:rPr>
              <w:t>10.9</w:t>
            </w:r>
          </w:p>
        </w:tc>
        <w:tc>
          <w:tcPr>
            <w:tcW w:w="735" w:type="dxa"/>
          </w:tcPr>
          <w:p w:rsidR="00000000" w:rsidRDefault="00000000">
            <w:pPr>
              <w:rPr>
                <w:sz w:val="18"/>
                <w:szCs w:val="18"/>
                <w:lang w:val="en-GB"/>
              </w:rPr>
            </w:pPr>
            <w:r>
              <w:rPr>
                <w:sz w:val="18"/>
                <w:szCs w:val="18"/>
                <w:lang w:val="en-GB"/>
              </w:rPr>
              <w:t>7.9</w:t>
            </w:r>
          </w:p>
        </w:tc>
        <w:tc>
          <w:tcPr>
            <w:tcW w:w="735" w:type="dxa"/>
          </w:tcPr>
          <w:p w:rsidR="00000000" w:rsidRDefault="00000000">
            <w:pPr>
              <w:rPr>
                <w:sz w:val="18"/>
                <w:szCs w:val="18"/>
                <w:lang w:val="en-GB"/>
              </w:rPr>
            </w:pPr>
            <w:r>
              <w:rPr>
                <w:sz w:val="18"/>
                <w:szCs w:val="18"/>
                <w:lang w:val="en-GB"/>
              </w:rPr>
              <w:t>8.1</w:t>
            </w:r>
          </w:p>
        </w:tc>
        <w:tc>
          <w:tcPr>
            <w:tcW w:w="748" w:type="dxa"/>
          </w:tcPr>
          <w:p w:rsidR="00000000" w:rsidRDefault="00000000">
            <w:pPr>
              <w:rPr>
                <w:sz w:val="18"/>
                <w:szCs w:val="18"/>
                <w:lang w:val="en-GB"/>
              </w:rPr>
            </w:pPr>
            <w:r>
              <w:rPr>
                <w:sz w:val="18"/>
                <w:szCs w:val="18"/>
                <w:lang w:val="en-GB"/>
              </w:rPr>
              <w:t>8.8</w:t>
            </w:r>
          </w:p>
        </w:tc>
        <w:tc>
          <w:tcPr>
            <w:tcW w:w="735" w:type="dxa"/>
          </w:tcPr>
          <w:p w:rsidR="00000000" w:rsidRDefault="00000000">
            <w:pPr>
              <w:rPr>
                <w:sz w:val="18"/>
                <w:szCs w:val="18"/>
                <w:lang w:val="en-GB"/>
              </w:rPr>
            </w:pPr>
            <w:r>
              <w:rPr>
                <w:sz w:val="18"/>
                <w:szCs w:val="18"/>
                <w:lang w:val="en-GB"/>
              </w:rPr>
              <w:t>6.7</w:t>
            </w:r>
          </w:p>
        </w:tc>
        <w:tc>
          <w:tcPr>
            <w:tcW w:w="735" w:type="dxa"/>
          </w:tcPr>
          <w:p w:rsidR="00000000" w:rsidRDefault="00000000">
            <w:pPr>
              <w:rPr>
                <w:sz w:val="18"/>
                <w:szCs w:val="18"/>
                <w:lang w:val="en-GB"/>
              </w:rPr>
            </w:pPr>
            <w:r>
              <w:rPr>
                <w:sz w:val="18"/>
                <w:szCs w:val="18"/>
                <w:lang w:val="en-GB"/>
              </w:rPr>
              <w:t>7.5</w:t>
            </w:r>
          </w:p>
        </w:tc>
        <w:tc>
          <w:tcPr>
            <w:tcW w:w="747" w:type="dxa"/>
          </w:tcPr>
          <w:p w:rsidR="00000000" w:rsidRDefault="00000000">
            <w:pPr>
              <w:rPr>
                <w:sz w:val="18"/>
                <w:szCs w:val="18"/>
                <w:lang w:val="en-GB"/>
              </w:rPr>
            </w:pPr>
            <w:r>
              <w:rPr>
                <w:sz w:val="18"/>
                <w:szCs w:val="18"/>
                <w:lang w:val="en-GB"/>
              </w:rPr>
              <w:t>10.7</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Varaždinska</w:t>
            </w:r>
          </w:p>
        </w:tc>
        <w:tc>
          <w:tcPr>
            <w:tcW w:w="771" w:type="dxa"/>
          </w:tcPr>
          <w:p w:rsidR="00000000" w:rsidRDefault="00000000">
            <w:pPr>
              <w:rPr>
                <w:sz w:val="18"/>
                <w:szCs w:val="18"/>
                <w:lang w:val="en-GB"/>
              </w:rPr>
            </w:pPr>
            <w:r>
              <w:rPr>
                <w:sz w:val="18"/>
                <w:szCs w:val="18"/>
                <w:lang w:val="en-GB"/>
              </w:rPr>
              <w:t>10.8</w:t>
            </w:r>
          </w:p>
        </w:tc>
        <w:tc>
          <w:tcPr>
            <w:tcW w:w="730" w:type="dxa"/>
          </w:tcPr>
          <w:p w:rsidR="00000000" w:rsidRDefault="00000000">
            <w:pPr>
              <w:rPr>
                <w:sz w:val="18"/>
                <w:szCs w:val="18"/>
                <w:lang w:val="en-GB"/>
              </w:rPr>
            </w:pPr>
            <w:r>
              <w:rPr>
                <w:sz w:val="18"/>
                <w:szCs w:val="18"/>
                <w:lang w:val="en-GB"/>
              </w:rPr>
              <w:t>9.6</w:t>
            </w:r>
          </w:p>
        </w:tc>
        <w:tc>
          <w:tcPr>
            <w:tcW w:w="766" w:type="dxa"/>
          </w:tcPr>
          <w:p w:rsidR="00000000" w:rsidRDefault="00000000">
            <w:pPr>
              <w:rPr>
                <w:sz w:val="18"/>
                <w:szCs w:val="18"/>
                <w:lang w:val="en-GB"/>
              </w:rPr>
            </w:pPr>
            <w:r>
              <w:rPr>
                <w:sz w:val="18"/>
                <w:szCs w:val="18"/>
                <w:lang w:val="en-GB"/>
              </w:rPr>
              <w:t>15.3</w:t>
            </w:r>
          </w:p>
        </w:tc>
        <w:tc>
          <w:tcPr>
            <w:tcW w:w="735" w:type="dxa"/>
          </w:tcPr>
          <w:p w:rsidR="00000000" w:rsidRDefault="00000000">
            <w:pPr>
              <w:rPr>
                <w:sz w:val="18"/>
                <w:szCs w:val="18"/>
                <w:lang w:val="en-GB"/>
              </w:rPr>
            </w:pPr>
            <w:r>
              <w:rPr>
                <w:sz w:val="18"/>
                <w:szCs w:val="18"/>
                <w:lang w:val="en-GB"/>
              </w:rPr>
              <w:t>9.9</w:t>
            </w:r>
          </w:p>
        </w:tc>
        <w:tc>
          <w:tcPr>
            <w:tcW w:w="735" w:type="dxa"/>
          </w:tcPr>
          <w:p w:rsidR="00000000" w:rsidRDefault="00000000">
            <w:pPr>
              <w:rPr>
                <w:sz w:val="18"/>
                <w:szCs w:val="18"/>
                <w:lang w:val="en-GB"/>
              </w:rPr>
            </w:pPr>
            <w:r>
              <w:rPr>
                <w:sz w:val="18"/>
                <w:szCs w:val="18"/>
                <w:lang w:val="en-GB"/>
              </w:rPr>
              <w:t>11.6</w:t>
            </w:r>
          </w:p>
        </w:tc>
        <w:tc>
          <w:tcPr>
            <w:tcW w:w="748" w:type="dxa"/>
          </w:tcPr>
          <w:p w:rsidR="00000000" w:rsidRDefault="00000000">
            <w:pPr>
              <w:rPr>
                <w:sz w:val="18"/>
                <w:szCs w:val="18"/>
                <w:lang w:val="en-GB"/>
              </w:rPr>
            </w:pPr>
            <w:r>
              <w:rPr>
                <w:sz w:val="18"/>
                <w:szCs w:val="18"/>
                <w:lang w:val="en-GB"/>
              </w:rPr>
              <w:t>11.0</w:t>
            </w:r>
          </w:p>
        </w:tc>
        <w:tc>
          <w:tcPr>
            <w:tcW w:w="735" w:type="dxa"/>
          </w:tcPr>
          <w:p w:rsidR="00000000" w:rsidRDefault="00000000">
            <w:pPr>
              <w:rPr>
                <w:sz w:val="18"/>
                <w:szCs w:val="18"/>
                <w:lang w:val="en-GB"/>
              </w:rPr>
            </w:pPr>
            <w:r>
              <w:rPr>
                <w:sz w:val="18"/>
                <w:szCs w:val="18"/>
                <w:lang w:val="en-GB"/>
              </w:rPr>
              <w:t>11.4</w:t>
            </w:r>
          </w:p>
        </w:tc>
        <w:tc>
          <w:tcPr>
            <w:tcW w:w="735" w:type="dxa"/>
          </w:tcPr>
          <w:p w:rsidR="00000000" w:rsidRDefault="00000000">
            <w:pPr>
              <w:rPr>
                <w:sz w:val="18"/>
                <w:szCs w:val="18"/>
                <w:lang w:val="en-GB"/>
              </w:rPr>
            </w:pPr>
            <w:r>
              <w:rPr>
                <w:sz w:val="18"/>
                <w:szCs w:val="18"/>
                <w:lang w:val="en-GB"/>
              </w:rPr>
              <w:t>7.9</w:t>
            </w:r>
          </w:p>
        </w:tc>
        <w:tc>
          <w:tcPr>
            <w:tcW w:w="747" w:type="dxa"/>
          </w:tcPr>
          <w:p w:rsidR="00000000" w:rsidRDefault="00000000">
            <w:pPr>
              <w:rPr>
                <w:sz w:val="18"/>
                <w:szCs w:val="18"/>
                <w:lang w:val="en-GB"/>
              </w:rPr>
            </w:pPr>
            <w:r>
              <w:rPr>
                <w:sz w:val="18"/>
                <w:szCs w:val="18"/>
                <w:lang w:val="en-GB"/>
              </w:rPr>
              <w:t>6.6</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Koprivni</w:t>
            </w:r>
            <w:r>
              <w:rPr>
                <w:sz w:val="21"/>
                <w:szCs w:val="21"/>
                <w:lang w:val="en-GB"/>
              </w:rPr>
              <w:t>č</w:t>
            </w:r>
            <w:r>
              <w:rPr>
                <w:sz w:val="18"/>
                <w:szCs w:val="18"/>
                <w:lang w:val="en-GB"/>
              </w:rPr>
              <w:t>ko-križeva</w:t>
            </w:r>
            <w:r>
              <w:rPr>
                <w:sz w:val="21"/>
                <w:szCs w:val="21"/>
                <w:lang w:val="en-GB"/>
              </w:rPr>
              <w:t>č</w:t>
            </w:r>
            <w:r>
              <w:rPr>
                <w:sz w:val="18"/>
                <w:szCs w:val="18"/>
                <w:lang w:val="en-GB"/>
              </w:rPr>
              <w:t>ka</w:t>
            </w:r>
          </w:p>
        </w:tc>
        <w:tc>
          <w:tcPr>
            <w:tcW w:w="771" w:type="dxa"/>
          </w:tcPr>
          <w:p w:rsidR="00000000" w:rsidRDefault="00000000">
            <w:pPr>
              <w:rPr>
                <w:sz w:val="18"/>
                <w:szCs w:val="18"/>
                <w:lang w:val="en-GB"/>
              </w:rPr>
            </w:pPr>
            <w:r>
              <w:rPr>
                <w:sz w:val="18"/>
                <w:szCs w:val="18"/>
                <w:lang w:val="en-GB"/>
              </w:rPr>
              <w:t>11.5</w:t>
            </w:r>
          </w:p>
        </w:tc>
        <w:tc>
          <w:tcPr>
            <w:tcW w:w="730" w:type="dxa"/>
          </w:tcPr>
          <w:p w:rsidR="00000000" w:rsidRDefault="00000000">
            <w:pPr>
              <w:rPr>
                <w:sz w:val="18"/>
                <w:szCs w:val="18"/>
                <w:lang w:val="en-GB"/>
              </w:rPr>
            </w:pPr>
            <w:r>
              <w:rPr>
                <w:sz w:val="18"/>
                <w:szCs w:val="18"/>
                <w:lang w:val="en-GB"/>
              </w:rPr>
              <w:t>10.4</w:t>
            </w:r>
          </w:p>
        </w:tc>
        <w:tc>
          <w:tcPr>
            <w:tcW w:w="766" w:type="dxa"/>
          </w:tcPr>
          <w:p w:rsidR="00000000" w:rsidRDefault="00000000">
            <w:pPr>
              <w:rPr>
                <w:sz w:val="18"/>
                <w:szCs w:val="18"/>
                <w:lang w:val="en-GB"/>
              </w:rPr>
            </w:pPr>
            <w:r>
              <w:rPr>
                <w:sz w:val="18"/>
                <w:szCs w:val="18"/>
                <w:lang w:val="en-GB"/>
              </w:rPr>
              <w:t>4.3</w:t>
            </w:r>
          </w:p>
        </w:tc>
        <w:tc>
          <w:tcPr>
            <w:tcW w:w="735" w:type="dxa"/>
          </w:tcPr>
          <w:p w:rsidR="00000000" w:rsidRDefault="00000000">
            <w:pPr>
              <w:rPr>
                <w:sz w:val="18"/>
                <w:szCs w:val="18"/>
                <w:lang w:val="en-GB"/>
              </w:rPr>
            </w:pPr>
            <w:r>
              <w:rPr>
                <w:sz w:val="18"/>
                <w:szCs w:val="18"/>
                <w:lang w:val="en-GB"/>
              </w:rPr>
              <w:t>11.3</w:t>
            </w:r>
          </w:p>
        </w:tc>
        <w:tc>
          <w:tcPr>
            <w:tcW w:w="735" w:type="dxa"/>
          </w:tcPr>
          <w:p w:rsidR="00000000" w:rsidRDefault="00000000">
            <w:pPr>
              <w:rPr>
                <w:sz w:val="18"/>
                <w:szCs w:val="18"/>
                <w:lang w:val="en-GB"/>
              </w:rPr>
            </w:pPr>
            <w:r>
              <w:rPr>
                <w:sz w:val="18"/>
                <w:szCs w:val="18"/>
                <w:lang w:val="en-GB"/>
              </w:rPr>
              <w:t>9.4</w:t>
            </w:r>
          </w:p>
        </w:tc>
        <w:tc>
          <w:tcPr>
            <w:tcW w:w="748" w:type="dxa"/>
          </w:tcPr>
          <w:p w:rsidR="00000000" w:rsidRDefault="00000000">
            <w:pPr>
              <w:rPr>
                <w:sz w:val="18"/>
                <w:szCs w:val="18"/>
                <w:lang w:val="en-GB"/>
              </w:rPr>
            </w:pPr>
            <w:r>
              <w:rPr>
                <w:sz w:val="18"/>
                <w:szCs w:val="18"/>
                <w:lang w:val="en-GB"/>
              </w:rPr>
              <w:t>11.9</w:t>
            </w:r>
          </w:p>
        </w:tc>
        <w:tc>
          <w:tcPr>
            <w:tcW w:w="735" w:type="dxa"/>
          </w:tcPr>
          <w:p w:rsidR="00000000" w:rsidRDefault="00000000">
            <w:pPr>
              <w:rPr>
                <w:sz w:val="18"/>
                <w:szCs w:val="18"/>
                <w:lang w:val="en-GB"/>
              </w:rPr>
            </w:pPr>
            <w:r>
              <w:rPr>
                <w:sz w:val="18"/>
                <w:szCs w:val="18"/>
                <w:lang w:val="en-GB"/>
              </w:rPr>
              <w:t>10.0</w:t>
            </w:r>
          </w:p>
        </w:tc>
        <w:tc>
          <w:tcPr>
            <w:tcW w:w="735" w:type="dxa"/>
          </w:tcPr>
          <w:p w:rsidR="00000000" w:rsidRDefault="00000000">
            <w:pPr>
              <w:rPr>
                <w:sz w:val="18"/>
                <w:szCs w:val="18"/>
                <w:lang w:val="en-GB"/>
              </w:rPr>
            </w:pPr>
            <w:r>
              <w:rPr>
                <w:sz w:val="18"/>
                <w:szCs w:val="18"/>
                <w:lang w:val="en-GB"/>
              </w:rPr>
              <w:t>11.4</w:t>
            </w:r>
          </w:p>
        </w:tc>
        <w:tc>
          <w:tcPr>
            <w:tcW w:w="747" w:type="dxa"/>
          </w:tcPr>
          <w:p w:rsidR="00000000" w:rsidRDefault="00000000">
            <w:pPr>
              <w:rPr>
                <w:sz w:val="18"/>
                <w:szCs w:val="18"/>
                <w:lang w:val="en-GB"/>
              </w:rPr>
            </w:pPr>
            <w:r>
              <w:rPr>
                <w:sz w:val="18"/>
                <w:szCs w:val="18"/>
                <w:lang w:val="en-GB"/>
              </w:rPr>
              <w:t>15.5</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Bjelovarsko-bilogorska</w:t>
            </w:r>
          </w:p>
        </w:tc>
        <w:tc>
          <w:tcPr>
            <w:tcW w:w="771" w:type="dxa"/>
          </w:tcPr>
          <w:p w:rsidR="00000000" w:rsidRDefault="00000000">
            <w:pPr>
              <w:rPr>
                <w:sz w:val="18"/>
                <w:szCs w:val="18"/>
                <w:lang w:val="en-GB"/>
              </w:rPr>
            </w:pPr>
            <w:r>
              <w:rPr>
                <w:sz w:val="18"/>
                <w:szCs w:val="18"/>
                <w:lang w:val="en-GB"/>
              </w:rPr>
              <w:t>14.3</w:t>
            </w:r>
          </w:p>
        </w:tc>
        <w:tc>
          <w:tcPr>
            <w:tcW w:w="730" w:type="dxa"/>
          </w:tcPr>
          <w:p w:rsidR="00000000" w:rsidRDefault="00000000">
            <w:pPr>
              <w:rPr>
                <w:sz w:val="18"/>
                <w:szCs w:val="18"/>
                <w:lang w:val="en-GB"/>
              </w:rPr>
            </w:pPr>
            <w:r>
              <w:rPr>
                <w:sz w:val="18"/>
                <w:szCs w:val="18"/>
                <w:lang w:val="en-GB"/>
              </w:rPr>
              <w:t>10.1</w:t>
            </w:r>
          </w:p>
        </w:tc>
        <w:tc>
          <w:tcPr>
            <w:tcW w:w="766" w:type="dxa"/>
          </w:tcPr>
          <w:p w:rsidR="00000000" w:rsidRDefault="00000000">
            <w:pPr>
              <w:rPr>
                <w:sz w:val="18"/>
                <w:szCs w:val="18"/>
                <w:lang w:val="en-GB"/>
              </w:rPr>
            </w:pPr>
            <w:r>
              <w:rPr>
                <w:sz w:val="18"/>
                <w:szCs w:val="18"/>
                <w:lang w:val="en-GB"/>
              </w:rPr>
              <w:t>14.1</w:t>
            </w:r>
          </w:p>
        </w:tc>
        <w:tc>
          <w:tcPr>
            <w:tcW w:w="735" w:type="dxa"/>
          </w:tcPr>
          <w:p w:rsidR="00000000" w:rsidRDefault="00000000">
            <w:pPr>
              <w:rPr>
                <w:sz w:val="18"/>
                <w:szCs w:val="18"/>
                <w:lang w:val="en-GB"/>
              </w:rPr>
            </w:pPr>
            <w:r>
              <w:rPr>
                <w:sz w:val="18"/>
                <w:szCs w:val="18"/>
                <w:lang w:val="en-GB"/>
              </w:rPr>
              <w:t>6.5</w:t>
            </w:r>
          </w:p>
        </w:tc>
        <w:tc>
          <w:tcPr>
            <w:tcW w:w="735" w:type="dxa"/>
          </w:tcPr>
          <w:p w:rsidR="00000000" w:rsidRDefault="00000000">
            <w:pPr>
              <w:rPr>
                <w:sz w:val="18"/>
                <w:szCs w:val="18"/>
                <w:lang w:val="en-GB"/>
              </w:rPr>
            </w:pPr>
            <w:r>
              <w:rPr>
                <w:sz w:val="18"/>
                <w:szCs w:val="18"/>
                <w:lang w:val="en-GB"/>
              </w:rPr>
              <w:t>7.1</w:t>
            </w:r>
          </w:p>
        </w:tc>
        <w:tc>
          <w:tcPr>
            <w:tcW w:w="748" w:type="dxa"/>
          </w:tcPr>
          <w:p w:rsidR="00000000" w:rsidRDefault="00000000">
            <w:pPr>
              <w:rPr>
                <w:sz w:val="18"/>
                <w:szCs w:val="18"/>
                <w:lang w:val="en-GB"/>
              </w:rPr>
            </w:pPr>
            <w:r>
              <w:rPr>
                <w:sz w:val="18"/>
                <w:szCs w:val="18"/>
                <w:lang w:val="en-GB"/>
              </w:rPr>
              <w:t>11.9</w:t>
            </w:r>
          </w:p>
        </w:tc>
        <w:tc>
          <w:tcPr>
            <w:tcW w:w="735" w:type="dxa"/>
          </w:tcPr>
          <w:p w:rsidR="00000000" w:rsidRDefault="00000000">
            <w:pPr>
              <w:rPr>
                <w:sz w:val="18"/>
                <w:szCs w:val="18"/>
                <w:lang w:val="en-GB"/>
              </w:rPr>
            </w:pPr>
            <w:r>
              <w:rPr>
                <w:sz w:val="18"/>
                <w:szCs w:val="18"/>
                <w:lang w:val="en-GB"/>
              </w:rPr>
              <w:t>8.9</w:t>
            </w:r>
          </w:p>
        </w:tc>
        <w:tc>
          <w:tcPr>
            <w:tcW w:w="735" w:type="dxa"/>
          </w:tcPr>
          <w:p w:rsidR="00000000" w:rsidRDefault="00000000">
            <w:pPr>
              <w:rPr>
                <w:sz w:val="18"/>
                <w:szCs w:val="18"/>
                <w:lang w:val="en-GB"/>
              </w:rPr>
            </w:pPr>
            <w:r>
              <w:rPr>
                <w:sz w:val="18"/>
                <w:szCs w:val="18"/>
                <w:lang w:val="en-GB"/>
              </w:rPr>
              <w:t>9.7</w:t>
            </w:r>
          </w:p>
        </w:tc>
        <w:tc>
          <w:tcPr>
            <w:tcW w:w="747" w:type="dxa"/>
          </w:tcPr>
          <w:p w:rsidR="00000000" w:rsidRDefault="00000000">
            <w:pPr>
              <w:rPr>
                <w:sz w:val="18"/>
                <w:szCs w:val="18"/>
                <w:lang w:val="en-GB"/>
              </w:rPr>
            </w:pPr>
            <w:r>
              <w:rPr>
                <w:sz w:val="18"/>
                <w:szCs w:val="18"/>
                <w:lang w:val="en-GB"/>
              </w:rPr>
              <w:t>8.4</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Primorsko-goranska</w:t>
            </w:r>
          </w:p>
        </w:tc>
        <w:tc>
          <w:tcPr>
            <w:tcW w:w="771" w:type="dxa"/>
          </w:tcPr>
          <w:p w:rsidR="00000000" w:rsidRDefault="00000000">
            <w:pPr>
              <w:rPr>
                <w:sz w:val="18"/>
                <w:szCs w:val="18"/>
                <w:lang w:val="en-GB"/>
              </w:rPr>
            </w:pPr>
            <w:r>
              <w:rPr>
                <w:sz w:val="18"/>
                <w:szCs w:val="18"/>
                <w:lang w:val="en-GB"/>
              </w:rPr>
              <w:t>9.8</w:t>
            </w:r>
          </w:p>
        </w:tc>
        <w:tc>
          <w:tcPr>
            <w:tcW w:w="730" w:type="dxa"/>
          </w:tcPr>
          <w:p w:rsidR="00000000" w:rsidRDefault="00000000">
            <w:pPr>
              <w:rPr>
                <w:sz w:val="18"/>
                <w:szCs w:val="18"/>
                <w:lang w:val="en-GB"/>
              </w:rPr>
            </w:pPr>
            <w:r>
              <w:rPr>
                <w:sz w:val="18"/>
                <w:szCs w:val="18"/>
                <w:lang w:val="en-GB"/>
              </w:rPr>
              <w:t>10.9</w:t>
            </w:r>
          </w:p>
        </w:tc>
        <w:tc>
          <w:tcPr>
            <w:tcW w:w="766" w:type="dxa"/>
          </w:tcPr>
          <w:p w:rsidR="00000000" w:rsidRDefault="00000000">
            <w:pPr>
              <w:rPr>
                <w:sz w:val="18"/>
                <w:szCs w:val="18"/>
                <w:lang w:val="en-GB"/>
              </w:rPr>
            </w:pPr>
            <w:r>
              <w:rPr>
                <w:sz w:val="18"/>
                <w:szCs w:val="18"/>
                <w:lang w:val="en-GB"/>
              </w:rPr>
              <w:t>9.1</w:t>
            </w:r>
          </w:p>
        </w:tc>
        <w:tc>
          <w:tcPr>
            <w:tcW w:w="735" w:type="dxa"/>
          </w:tcPr>
          <w:p w:rsidR="00000000" w:rsidRDefault="00000000">
            <w:pPr>
              <w:rPr>
                <w:sz w:val="18"/>
                <w:szCs w:val="18"/>
                <w:lang w:val="en-GB"/>
              </w:rPr>
            </w:pPr>
            <w:r>
              <w:rPr>
                <w:sz w:val="18"/>
                <w:szCs w:val="18"/>
                <w:lang w:val="en-GB"/>
              </w:rPr>
              <w:t>8.2</w:t>
            </w:r>
          </w:p>
        </w:tc>
        <w:tc>
          <w:tcPr>
            <w:tcW w:w="735" w:type="dxa"/>
          </w:tcPr>
          <w:p w:rsidR="00000000" w:rsidRDefault="00000000">
            <w:pPr>
              <w:rPr>
                <w:sz w:val="18"/>
                <w:szCs w:val="18"/>
                <w:lang w:val="en-GB"/>
              </w:rPr>
            </w:pPr>
            <w:r>
              <w:rPr>
                <w:sz w:val="18"/>
                <w:szCs w:val="18"/>
                <w:lang w:val="en-GB"/>
              </w:rPr>
              <w:t>10.8</w:t>
            </w:r>
          </w:p>
        </w:tc>
        <w:tc>
          <w:tcPr>
            <w:tcW w:w="748" w:type="dxa"/>
          </w:tcPr>
          <w:p w:rsidR="00000000" w:rsidRDefault="00000000">
            <w:pPr>
              <w:rPr>
                <w:sz w:val="18"/>
                <w:szCs w:val="18"/>
                <w:lang w:val="en-GB"/>
              </w:rPr>
            </w:pPr>
            <w:r>
              <w:rPr>
                <w:sz w:val="18"/>
                <w:szCs w:val="18"/>
                <w:lang w:val="en-GB"/>
              </w:rPr>
              <w:t>7.4</w:t>
            </w:r>
          </w:p>
        </w:tc>
        <w:tc>
          <w:tcPr>
            <w:tcW w:w="735" w:type="dxa"/>
          </w:tcPr>
          <w:p w:rsidR="00000000" w:rsidRDefault="00000000">
            <w:pPr>
              <w:rPr>
                <w:sz w:val="18"/>
                <w:szCs w:val="18"/>
                <w:lang w:val="en-GB"/>
              </w:rPr>
            </w:pPr>
            <w:r>
              <w:rPr>
                <w:sz w:val="18"/>
                <w:szCs w:val="18"/>
                <w:lang w:val="en-GB"/>
              </w:rPr>
              <w:t>9.1</w:t>
            </w:r>
          </w:p>
        </w:tc>
        <w:tc>
          <w:tcPr>
            <w:tcW w:w="735" w:type="dxa"/>
          </w:tcPr>
          <w:p w:rsidR="00000000" w:rsidRDefault="00000000">
            <w:pPr>
              <w:rPr>
                <w:sz w:val="18"/>
                <w:szCs w:val="18"/>
                <w:lang w:val="en-GB"/>
              </w:rPr>
            </w:pPr>
            <w:r>
              <w:rPr>
                <w:sz w:val="18"/>
                <w:szCs w:val="18"/>
                <w:lang w:val="en-GB"/>
              </w:rPr>
              <w:t>7.5</w:t>
            </w:r>
          </w:p>
        </w:tc>
        <w:tc>
          <w:tcPr>
            <w:tcW w:w="747" w:type="dxa"/>
          </w:tcPr>
          <w:p w:rsidR="00000000" w:rsidRDefault="00000000">
            <w:pPr>
              <w:rPr>
                <w:sz w:val="18"/>
                <w:szCs w:val="18"/>
                <w:lang w:val="en-GB"/>
              </w:rPr>
            </w:pPr>
            <w:r>
              <w:rPr>
                <w:sz w:val="18"/>
                <w:szCs w:val="18"/>
                <w:lang w:val="en-GB"/>
              </w:rPr>
              <w:t>5.8</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Li</w:t>
            </w:r>
            <w:r>
              <w:rPr>
                <w:sz w:val="21"/>
                <w:szCs w:val="21"/>
                <w:lang w:val="en-GB"/>
              </w:rPr>
              <w:t>č</w:t>
            </w:r>
            <w:r>
              <w:rPr>
                <w:sz w:val="18"/>
                <w:szCs w:val="18"/>
                <w:lang w:val="en-GB"/>
              </w:rPr>
              <w:t>ko-senjska</w:t>
            </w:r>
          </w:p>
        </w:tc>
        <w:tc>
          <w:tcPr>
            <w:tcW w:w="771" w:type="dxa"/>
          </w:tcPr>
          <w:p w:rsidR="00000000" w:rsidRDefault="00000000">
            <w:pPr>
              <w:rPr>
                <w:sz w:val="18"/>
                <w:szCs w:val="18"/>
                <w:lang w:val="en-GB"/>
              </w:rPr>
            </w:pPr>
            <w:r>
              <w:rPr>
                <w:sz w:val="18"/>
                <w:szCs w:val="18"/>
                <w:lang w:val="en-GB"/>
              </w:rPr>
              <w:t>18.8</w:t>
            </w:r>
          </w:p>
        </w:tc>
        <w:tc>
          <w:tcPr>
            <w:tcW w:w="730" w:type="dxa"/>
          </w:tcPr>
          <w:p w:rsidR="00000000" w:rsidRDefault="00000000">
            <w:pPr>
              <w:rPr>
                <w:sz w:val="18"/>
                <w:szCs w:val="18"/>
                <w:lang w:val="en-GB"/>
              </w:rPr>
            </w:pPr>
            <w:r>
              <w:rPr>
                <w:sz w:val="18"/>
                <w:szCs w:val="18"/>
                <w:lang w:val="en-GB"/>
              </w:rPr>
              <w:t>19.3</w:t>
            </w:r>
          </w:p>
        </w:tc>
        <w:tc>
          <w:tcPr>
            <w:tcW w:w="766" w:type="dxa"/>
          </w:tcPr>
          <w:p w:rsidR="00000000" w:rsidRDefault="00000000">
            <w:pPr>
              <w:rPr>
                <w:sz w:val="18"/>
                <w:szCs w:val="18"/>
                <w:lang w:val="en-GB"/>
              </w:rPr>
            </w:pPr>
            <w:r>
              <w:rPr>
                <w:sz w:val="18"/>
                <w:szCs w:val="18"/>
                <w:lang w:val="en-GB"/>
              </w:rPr>
              <w:t>16.4</w:t>
            </w:r>
          </w:p>
        </w:tc>
        <w:tc>
          <w:tcPr>
            <w:tcW w:w="735" w:type="dxa"/>
          </w:tcPr>
          <w:p w:rsidR="00000000" w:rsidRDefault="00000000">
            <w:pPr>
              <w:rPr>
                <w:sz w:val="18"/>
                <w:szCs w:val="18"/>
                <w:lang w:val="en-GB"/>
              </w:rPr>
            </w:pPr>
            <w:r>
              <w:rPr>
                <w:sz w:val="18"/>
                <w:szCs w:val="18"/>
                <w:lang w:val="en-GB"/>
              </w:rPr>
              <w:t>15.1</w:t>
            </w:r>
          </w:p>
        </w:tc>
        <w:tc>
          <w:tcPr>
            <w:tcW w:w="735" w:type="dxa"/>
          </w:tcPr>
          <w:p w:rsidR="00000000" w:rsidRDefault="00000000">
            <w:pPr>
              <w:rPr>
                <w:sz w:val="18"/>
                <w:szCs w:val="18"/>
                <w:lang w:val="en-GB"/>
              </w:rPr>
            </w:pPr>
            <w:r>
              <w:rPr>
                <w:sz w:val="18"/>
                <w:szCs w:val="18"/>
                <w:lang w:val="en-GB"/>
              </w:rPr>
              <w:t>9.8</w:t>
            </w:r>
          </w:p>
        </w:tc>
        <w:tc>
          <w:tcPr>
            <w:tcW w:w="748" w:type="dxa"/>
          </w:tcPr>
          <w:p w:rsidR="00000000" w:rsidRDefault="00000000">
            <w:pPr>
              <w:rPr>
                <w:sz w:val="18"/>
                <w:szCs w:val="18"/>
                <w:lang w:val="en-GB"/>
              </w:rPr>
            </w:pPr>
            <w:r>
              <w:rPr>
                <w:sz w:val="18"/>
                <w:szCs w:val="18"/>
                <w:lang w:val="en-GB"/>
              </w:rPr>
              <w:t>3.9</w:t>
            </w:r>
          </w:p>
        </w:tc>
        <w:tc>
          <w:tcPr>
            <w:tcW w:w="735" w:type="dxa"/>
          </w:tcPr>
          <w:p w:rsidR="00000000" w:rsidRDefault="00000000">
            <w:pPr>
              <w:rPr>
                <w:sz w:val="18"/>
                <w:szCs w:val="18"/>
                <w:lang w:val="en-GB"/>
              </w:rPr>
            </w:pPr>
            <w:r>
              <w:rPr>
                <w:sz w:val="18"/>
                <w:szCs w:val="18"/>
                <w:lang w:val="en-GB"/>
              </w:rPr>
              <w:t>15.4</w:t>
            </w:r>
          </w:p>
        </w:tc>
        <w:tc>
          <w:tcPr>
            <w:tcW w:w="735" w:type="dxa"/>
          </w:tcPr>
          <w:p w:rsidR="00000000" w:rsidRDefault="00000000">
            <w:pPr>
              <w:rPr>
                <w:sz w:val="18"/>
                <w:szCs w:val="18"/>
                <w:lang w:val="en-GB"/>
              </w:rPr>
            </w:pPr>
            <w:r>
              <w:rPr>
                <w:sz w:val="18"/>
                <w:szCs w:val="18"/>
                <w:lang w:val="en-GB"/>
              </w:rPr>
              <w:t>8.0</w:t>
            </w:r>
          </w:p>
        </w:tc>
        <w:tc>
          <w:tcPr>
            <w:tcW w:w="747" w:type="dxa"/>
          </w:tcPr>
          <w:p w:rsidR="00000000" w:rsidRDefault="00000000">
            <w:pPr>
              <w:rPr>
                <w:sz w:val="18"/>
                <w:szCs w:val="18"/>
                <w:lang w:val="en-GB"/>
              </w:rPr>
            </w:pPr>
            <w:r>
              <w:rPr>
                <w:sz w:val="18"/>
                <w:szCs w:val="18"/>
                <w:lang w:val="en-GB"/>
              </w:rPr>
              <w:t>5.6</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Viroviti</w:t>
            </w:r>
            <w:r>
              <w:rPr>
                <w:sz w:val="21"/>
                <w:szCs w:val="21"/>
                <w:lang w:val="en-GB"/>
              </w:rPr>
              <w:t>č</w:t>
            </w:r>
            <w:r>
              <w:rPr>
                <w:sz w:val="18"/>
                <w:szCs w:val="18"/>
                <w:lang w:val="en-GB"/>
              </w:rPr>
              <w:t>ko-podravska</w:t>
            </w:r>
          </w:p>
        </w:tc>
        <w:tc>
          <w:tcPr>
            <w:tcW w:w="771" w:type="dxa"/>
          </w:tcPr>
          <w:p w:rsidR="00000000" w:rsidRDefault="00000000">
            <w:pPr>
              <w:rPr>
                <w:sz w:val="18"/>
                <w:szCs w:val="18"/>
                <w:lang w:val="en-GB"/>
              </w:rPr>
            </w:pPr>
            <w:r>
              <w:rPr>
                <w:sz w:val="18"/>
                <w:szCs w:val="18"/>
                <w:lang w:val="en-GB"/>
              </w:rPr>
              <w:t>13.5</w:t>
            </w:r>
          </w:p>
        </w:tc>
        <w:tc>
          <w:tcPr>
            <w:tcW w:w="730" w:type="dxa"/>
          </w:tcPr>
          <w:p w:rsidR="00000000" w:rsidRDefault="00000000">
            <w:pPr>
              <w:rPr>
                <w:sz w:val="18"/>
                <w:szCs w:val="18"/>
                <w:lang w:val="en-GB"/>
              </w:rPr>
            </w:pPr>
            <w:r>
              <w:rPr>
                <w:sz w:val="18"/>
                <w:szCs w:val="18"/>
                <w:lang w:val="en-GB"/>
              </w:rPr>
              <w:t>5.4</w:t>
            </w:r>
          </w:p>
        </w:tc>
        <w:tc>
          <w:tcPr>
            <w:tcW w:w="766" w:type="dxa"/>
          </w:tcPr>
          <w:p w:rsidR="00000000" w:rsidRDefault="00000000">
            <w:pPr>
              <w:rPr>
                <w:sz w:val="18"/>
                <w:szCs w:val="18"/>
                <w:lang w:val="en-GB"/>
              </w:rPr>
            </w:pPr>
            <w:r>
              <w:rPr>
                <w:sz w:val="18"/>
                <w:szCs w:val="18"/>
                <w:lang w:val="en-GB"/>
              </w:rPr>
              <w:t>14.4</w:t>
            </w:r>
          </w:p>
        </w:tc>
        <w:tc>
          <w:tcPr>
            <w:tcW w:w="735" w:type="dxa"/>
          </w:tcPr>
          <w:p w:rsidR="00000000" w:rsidRDefault="00000000">
            <w:pPr>
              <w:rPr>
                <w:sz w:val="18"/>
                <w:szCs w:val="18"/>
                <w:lang w:val="en-GB"/>
              </w:rPr>
            </w:pPr>
            <w:r>
              <w:rPr>
                <w:sz w:val="18"/>
                <w:szCs w:val="18"/>
                <w:lang w:val="en-GB"/>
              </w:rPr>
              <w:t>11.1</w:t>
            </w:r>
          </w:p>
        </w:tc>
        <w:tc>
          <w:tcPr>
            <w:tcW w:w="735" w:type="dxa"/>
          </w:tcPr>
          <w:p w:rsidR="00000000" w:rsidRDefault="00000000">
            <w:pPr>
              <w:rPr>
                <w:sz w:val="18"/>
                <w:szCs w:val="18"/>
                <w:lang w:val="en-GB"/>
              </w:rPr>
            </w:pPr>
            <w:r>
              <w:rPr>
                <w:sz w:val="18"/>
                <w:szCs w:val="18"/>
                <w:lang w:val="en-GB"/>
              </w:rPr>
              <w:t>10.4</w:t>
            </w:r>
          </w:p>
        </w:tc>
        <w:tc>
          <w:tcPr>
            <w:tcW w:w="748" w:type="dxa"/>
          </w:tcPr>
          <w:p w:rsidR="00000000" w:rsidRDefault="00000000">
            <w:pPr>
              <w:rPr>
                <w:sz w:val="18"/>
                <w:szCs w:val="18"/>
                <w:lang w:val="en-GB"/>
              </w:rPr>
            </w:pPr>
            <w:r>
              <w:rPr>
                <w:sz w:val="18"/>
                <w:szCs w:val="18"/>
                <w:lang w:val="en-GB"/>
              </w:rPr>
              <w:t>6.2</w:t>
            </w:r>
          </w:p>
        </w:tc>
        <w:tc>
          <w:tcPr>
            <w:tcW w:w="735" w:type="dxa"/>
          </w:tcPr>
          <w:p w:rsidR="00000000" w:rsidRDefault="00000000">
            <w:pPr>
              <w:rPr>
                <w:sz w:val="18"/>
                <w:szCs w:val="18"/>
                <w:lang w:val="en-GB"/>
              </w:rPr>
            </w:pPr>
            <w:r>
              <w:rPr>
                <w:sz w:val="18"/>
                <w:szCs w:val="18"/>
                <w:lang w:val="en-GB"/>
              </w:rPr>
              <w:t>4.6</w:t>
            </w:r>
          </w:p>
        </w:tc>
        <w:tc>
          <w:tcPr>
            <w:tcW w:w="735" w:type="dxa"/>
          </w:tcPr>
          <w:p w:rsidR="00000000" w:rsidRDefault="00000000">
            <w:pPr>
              <w:rPr>
                <w:sz w:val="18"/>
                <w:szCs w:val="18"/>
                <w:lang w:val="en-GB"/>
              </w:rPr>
            </w:pPr>
            <w:r>
              <w:rPr>
                <w:sz w:val="18"/>
                <w:szCs w:val="18"/>
                <w:lang w:val="en-GB"/>
              </w:rPr>
              <w:t>10.7</w:t>
            </w:r>
          </w:p>
        </w:tc>
        <w:tc>
          <w:tcPr>
            <w:tcW w:w="747" w:type="dxa"/>
          </w:tcPr>
          <w:p w:rsidR="00000000" w:rsidRDefault="00000000">
            <w:pPr>
              <w:rPr>
                <w:sz w:val="18"/>
                <w:szCs w:val="18"/>
                <w:lang w:val="en-GB"/>
              </w:rPr>
            </w:pPr>
            <w:r>
              <w:rPr>
                <w:sz w:val="18"/>
                <w:szCs w:val="18"/>
                <w:lang w:val="en-GB"/>
              </w:rPr>
              <w:t>5.4</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Požeško-slavonska</w:t>
            </w:r>
          </w:p>
        </w:tc>
        <w:tc>
          <w:tcPr>
            <w:tcW w:w="771" w:type="dxa"/>
          </w:tcPr>
          <w:p w:rsidR="00000000" w:rsidRDefault="00000000">
            <w:pPr>
              <w:rPr>
                <w:sz w:val="18"/>
                <w:szCs w:val="18"/>
                <w:lang w:val="en-GB"/>
              </w:rPr>
            </w:pPr>
            <w:r>
              <w:rPr>
                <w:sz w:val="18"/>
                <w:szCs w:val="18"/>
                <w:lang w:val="en-GB"/>
              </w:rPr>
              <w:t>12.7</w:t>
            </w:r>
          </w:p>
        </w:tc>
        <w:tc>
          <w:tcPr>
            <w:tcW w:w="730" w:type="dxa"/>
          </w:tcPr>
          <w:p w:rsidR="00000000" w:rsidRDefault="00000000">
            <w:pPr>
              <w:rPr>
                <w:sz w:val="18"/>
                <w:szCs w:val="18"/>
                <w:lang w:val="en-GB"/>
              </w:rPr>
            </w:pPr>
            <w:r>
              <w:rPr>
                <w:sz w:val="18"/>
                <w:szCs w:val="18"/>
                <w:lang w:val="en-GB"/>
              </w:rPr>
              <w:t>8.7</w:t>
            </w:r>
          </w:p>
        </w:tc>
        <w:tc>
          <w:tcPr>
            <w:tcW w:w="766" w:type="dxa"/>
          </w:tcPr>
          <w:p w:rsidR="00000000" w:rsidRDefault="00000000">
            <w:pPr>
              <w:rPr>
                <w:sz w:val="18"/>
                <w:szCs w:val="18"/>
                <w:lang w:val="en-GB"/>
              </w:rPr>
            </w:pPr>
            <w:r>
              <w:rPr>
                <w:sz w:val="18"/>
                <w:szCs w:val="18"/>
                <w:lang w:val="en-GB"/>
              </w:rPr>
              <w:t>12.1</w:t>
            </w:r>
          </w:p>
        </w:tc>
        <w:tc>
          <w:tcPr>
            <w:tcW w:w="735" w:type="dxa"/>
          </w:tcPr>
          <w:p w:rsidR="00000000" w:rsidRDefault="00000000">
            <w:pPr>
              <w:rPr>
                <w:sz w:val="18"/>
                <w:szCs w:val="18"/>
                <w:lang w:val="en-GB"/>
              </w:rPr>
            </w:pPr>
            <w:r>
              <w:rPr>
                <w:sz w:val="18"/>
                <w:szCs w:val="18"/>
                <w:lang w:val="en-GB"/>
              </w:rPr>
              <w:t>11.9</w:t>
            </w:r>
          </w:p>
        </w:tc>
        <w:tc>
          <w:tcPr>
            <w:tcW w:w="735" w:type="dxa"/>
          </w:tcPr>
          <w:p w:rsidR="00000000" w:rsidRDefault="00000000">
            <w:pPr>
              <w:rPr>
                <w:sz w:val="18"/>
                <w:szCs w:val="18"/>
                <w:lang w:val="en-GB"/>
              </w:rPr>
            </w:pPr>
            <w:r>
              <w:rPr>
                <w:sz w:val="18"/>
                <w:szCs w:val="18"/>
                <w:lang w:val="en-GB"/>
              </w:rPr>
              <w:t>8.6</w:t>
            </w:r>
          </w:p>
        </w:tc>
        <w:tc>
          <w:tcPr>
            <w:tcW w:w="748" w:type="dxa"/>
          </w:tcPr>
          <w:p w:rsidR="00000000" w:rsidRDefault="00000000">
            <w:pPr>
              <w:rPr>
                <w:sz w:val="18"/>
                <w:szCs w:val="18"/>
                <w:lang w:val="en-GB"/>
              </w:rPr>
            </w:pPr>
            <w:r>
              <w:rPr>
                <w:sz w:val="18"/>
                <w:szCs w:val="18"/>
                <w:lang w:val="en-GB"/>
              </w:rPr>
              <w:t>5.6</w:t>
            </w:r>
          </w:p>
        </w:tc>
        <w:tc>
          <w:tcPr>
            <w:tcW w:w="735" w:type="dxa"/>
          </w:tcPr>
          <w:p w:rsidR="00000000" w:rsidRDefault="00000000">
            <w:pPr>
              <w:rPr>
                <w:sz w:val="18"/>
                <w:szCs w:val="18"/>
                <w:lang w:val="en-GB"/>
              </w:rPr>
            </w:pPr>
            <w:r>
              <w:rPr>
                <w:sz w:val="18"/>
                <w:szCs w:val="18"/>
                <w:lang w:val="en-GB"/>
              </w:rPr>
              <w:t>7.7</w:t>
            </w:r>
          </w:p>
        </w:tc>
        <w:tc>
          <w:tcPr>
            <w:tcW w:w="735" w:type="dxa"/>
          </w:tcPr>
          <w:p w:rsidR="00000000" w:rsidRDefault="00000000">
            <w:pPr>
              <w:rPr>
                <w:sz w:val="18"/>
                <w:szCs w:val="18"/>
                <w:lang w:val="en-GB"/>
              </w:rPr>
            </w:pPr>
            <w:r>
              <w:rPr>
                <w:sz w:val="18"/>
                <w:szCs w:val="18"/>
                <w:lang w:val="en-GB"/>
              </w:rPr>
              <w:t>5.5</w:t>
            </w:r>
          </w:p>
        </w:tc>
        <w:tc>
          <w:tcPr>
            <w:tcW w:w="747" w:type="dxa"/>
          </w:tcPr>
          <w:p w:rsidR="00000000" w:rsidRDefault="00000000">
            <w:pPr>
              <w:rPr>
                <w:sz w:val="18"/>
                <w:szCs w:val="18"/>
                <w:lang w:val="en-GB"/>
              </w:rPr>
            </w:pPr>
            <w:r>
              <w:rPr>
                <w:sz w:val="18"/>
                <w:szCs w:val="18"/>
                <w:lang w:val="en-GB"/>
              </w:rPr>
              <w:t>9.4</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Brodsko-posavska</w:t>
            </w:r>
          </w:p>
        </w:tc>
        <w:tc>
          <w:tcPr>
            <w:tcW w:w="771" w:type="dxa"/>
          </w:tcPr>
          <w:p w:rsidR="00000000" w:rsidRDefault="00000000">
            <w:pPr>
              <w:rPr>
                <w:sz w:val="18"/>
                <w:szCs w:val="18"/>
                <w:lang w:val="en-GB"/>
              </w:rPr>
            </w:pPr>
            <w:r>
              <w:rPr>
                <w:sz w:val="18"/>
                <w:szCs w:val="18"/>
                <w:lang w:val="en-GB"/>
              </w:rPr>
              <w:t>14.1</w:t>
            </w:r>
          </w:p>
        </w:tc>
        <w:tc>
          <w:tcPr>
            <w:tcW w:w="730" w:type="dxa"/>
          </w:tcPr>
          <w:p w:rsidR="00000000" w:rsidRDefault="00000000">
            <w:pPr>
              <w:rPr>
                <w:sz w:val="18"/>
                <w:szCs w:val="18"/>
                <w:lang w:val="en-GB"/>
              </w:rPr>
            </w:pPr>
            <w:r>
              <w:rPr>
                <w:sz w:val="18"/>
                <w:szCs w:val="18"/>
                <w:lang w:val="en-GB"/>
              </w:rPr>
              <w:t>14.1</w:t>
            </w:r>
          </w:p>
        </w:tc>
        <w:tc>
          <w:tcPr>
            <w:tcW w:w="766" w:type="dxa"/>
          </w:tcPr>
          <w:p w:rsidR="00000000" w:rsidRDefault="00000000">
            <w:pPr>
              <w:rPr>
                <w:sz w:val="18"/>
                <w:szCs w:val="18"/>
                <w:lang w:val="en-GB"/>
              </w:rPr>
            </w:pPr>
            <w:r>
              <w:rPr>
                <w:sz w:val="18"/>
                <w:szCs w:val="18"/>
                <w:lang w:val="en-GB"/>
              </w:rPr>
              <w:t>17.8</w:t>
            </w:r>
          </w:p>
        </w:tc>
        <w:tc>
          <w:tcPr>
            <w:tcW w:w="735" w:type="dxa"/>
          </w:tcPr>
          <w:p w:rsidR="00000000" w:rsidRDefault="00000000">
            <w:pPr>
              <w:rPr>
                <w:sz w:val="18"/>
                <w:szCs w:val="18"/>
                <w:lang w:val="en-GB"/>
              </w:rPr>
            </w:pPr>
            <w:r>
              <w:rPr>
                <w:sz w:val="18"/>
                <w:szCs w:val="18"/>
                <w:lang w:val="en-GB"/>
              </w:rPr>
              <w:t>14.2</w:t>
            </w:r>
          </w:p>
        </w:tc>
        <w:tc>
          <w:tcPr>
            <w:tcW w:w="735" w:type="dxa"/>
          </w:tcPr>
          <w:p w:rsidR="00000000" w:rsidRDefault="00000000">
            <w:pPr>
              <w:rPr>
                <w:sz w:val="18"/>
                <w:szCs w:val="18"/>
                <w:lang w:val="en-GB"/>
              </w:rPr>
            </w:pPr>
            <w:r>
              <w:rPr>
                <w:sz w:val="18"/>
                <w:szCs w:val="18"/>
                <w:lang w:val="en-GB"/>
              </w:rPr>
              <w:t>13.4</w:t>
            </w:r>
          </w:p>
        </w:tc>
        <w:tc>
          <w:tcPr>
            <w:tcW w:w="748" w:type="dxa"/>
          </w:tcPr>
          <w:p w:rsidR="00000000" w:rsidRDefault="00000000">
            <w:pPr>
              <w:rPr>
                <w:sz w:val="18"/>
                <w:szCs w:val="18"/>
                <w:lang w:val="en-GB"/>
              </w:rPr>
            </w:pPr>
            <w:r>
              <w:rPr>
                <w:sz w:val="18"/>
                <w:szCs w:val="18"/>
                <w:lang w:val="en-GB"/>
              </w:rPr>
              <w:t>10.6</w:t>
            </w:r>
          </w:p>
        </w:tc>
        <w:tc>
          <w:tcPr>
            <w:tcW w:w="735" w:type="dxa"/>
          </w:tcPr>
          <w:p w:rsidR="00000000" w:rsidRDefault="00000000">
            <w:pPr>
              <w:rPr>
                <w:sz w:val="18"/>
                <w:szCs w:val="18"/>
                <w:lang w:val="en-GB"/>
              </w:rPr>
            </w:pPr>
            <w:r>
              <w:rPr>
                <w:sz w:val="18"/>
                <w:szCs w:val="18"/>
                <w:lang w:val="en-GB"/>
              </w:rPr>
              <w:t>6.3</w:t>
            </w:r>
          </w:p>
        </w:tc>
        <w:tc>
          <w:tcPr>
            <w:tcW w:w="735" w:type="dxa"/>
          </w:tcPr>
          <w:p w:rsidR="00000000" w:rsidRDefault="00000000">
            <w:pPr>
              <w:rPr>
                <w:sz w:val="18"/>
                <w:szCs w:val="18"/>
                <w:lang w:val="en-GB"/>
              </w:rPr>
            </w:pPr>
            <w:r>
              <w:rPr>
                <w:sz w:val="18"/>
                <w:szCs w:val="18"/>
                <w:lang w:val="en-GB"/>
              </w:rPr>
              <w:t>9.0</w:t>
            </w:r>
          </w:p>
        </w:tc>
        <w:tc>
          <w:tcPr>
            <w:tcW w:w="747" w:type="dxa"/>
          </w:tcPr>
          <w:p w:rsidR="00000000" w:rsidRDefault="00000000">
            <w:pPr>
              <w:rPr>
                <w:sz w:val="18"/>
                <w:szCs w:val="18"/>
                <w:lang w:val="en-GB"/>
              </w:rPr>
            </w:pPr>
            <w:r>
              <w:rPr>
                <w:sz w:val="18"/>
                <w:szCs w:val="18"/>
                <w:lang w:val="en-GB"/>
              </w:rPr>
              <w:t>10.6</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Zadarska</w:t>
            </w:r>
          </w:p>
        </w:tc>
        <w:tc>
          <w:tcPr>
            <w:tcW w:w="771" w:type="dxa"/>
          </w:tcPr>
          <w:p w:rsidR="00000000" w:rsidRDefault="00000000">
            <w:pPr>
              <w:rPr>
                <w:sz w:val="18"/>
                <w:szCs w:val="18"/>
                <w:lang w:val="en-GB"/>
              </w:rPr>
            </w:pPr>
            <w:r>
              <w:rPr>
                <w:sz w:val="18"/>
                <w:szCs w:val="18"/>
                <w:lang w:val="en-GB"/>
              </w:rPr>
              <w:t>13.7</w:t>
            </w:r>
          </w:p>
        </w:tc>
        <w:tc>
          <w:tcPr>
            <w:tcW w:w="730" w:type="dxa"/>
          </w:tcPr>
          <w:p w:rsidR="00000000" w:rsidRDefault="00000000">
            <w:pPr>
              <w:rPr>
                <w:sz w:val="18"/>
                <w:szCs w:val="18"/>
                <w:lang w:val="en-GB"/>
              </w:rPr>
            </w:pPr>
            <w:r>
              <w:rPr>
                <w:sz w:val="18"/>
                <w:szCs w:val="18"/>
                <w:lang w:val="en-GB"/>
              </w:rPr>
              <w:t>17.2</w:t>
            </w:r>
          </w:p>
        </w:tc>
        <w:tc>
          <w:tcPr>
            <w:tcW w:w="766" w:type="dxa"/>
          </w:tcPr>
          <w:p w:rsidR="00000000" w:rsidRDefault="00000000">
            <w:pPr>
              <w:rPr>
                <w:sz w:val="18"/>
                <w:szCs w:val="18"/>
                <w:lang w:val="en-GB"/>
              </w:rPr>
            </w:pPr>
            <w:r>
              <w:rPr>
                <w:sz w:val="18"/>
                <w:szCs w:val="18"/>
                <w:lang w:val="en-GB"/>
              </w:rPr>
              <w:t>12.4</w:t>
            </w:r>
          </w:p>
        </w:tc>
        <w:tc>
          <w:tcPr>
            <w:tcW w:w="735" w:type="dxa"/>
          </w:tcPr>
          <w:p w:rsidR="00000000" w:rsidRDefault="00000000">
            <w:pPr>
              <w:rPr>
                <w:sz w:val="18"/>
                <w:szCs w:val="18"/>
                <w:lang w:val="en-GB"/>
              </w:rPr>
            </w:pPr>
            <w:r>
              <w:rPr>
                <w:sz w:val="18"/>
                <w:szCs w:val="18"/>
                <w:lang w:val="en-GB"/>
              </w:rPr>
              <w:t>10.6</w:t>
            </w:r>
          </w:p>
        </w:tc>
        <w:tc>
          <w:tcPr>
            <w:tcW w:w="735" w:type="dxa"/>
          </w:tcPr>
          <w:p w:rsidR="00000000" w:rsidRDefault="00000000">
            <w:pPr>
              <w:rPr>
                <w:sz w:val="18"/>
                <w:szCs w:val="18"/>
                <w:lang w:val="en-GB"/>
              </w:rPr>
            </w:pPr>
            <w:r>
              <w:rPr>
                <w:sz w:val="18"/>
                <w:szCs w:val="18"/>
                <w:lang w:val="en-GB"/>
              </w:rPr>
              <w:t>9.4</w:t>
            </w:r>
          </w:p>
        </w:tc>
        <w:tc>
          <w:tcPr>
            <w:tcW w:w="748" w:type="dxa"/>
          </w:tcPr>
          <w:p w:rsidR="00000000" w:rsidRDefault="00000000">
            <w:pPr>
              <w:rPr>
                <w:sz w:val="18"/>
                <w:szCs w:val="18"/>
                <w:lang w:val="en-GB"/>
              </w:rPr>
            </w:pPr>
            <w:r>
              <w:rPr>
                <w:sz w:val="18"/>
                <w:szCs w:val="18"/>
                <w:lang w:val="en-GB"/>
              </w:rPr>
              <w:t>9.2</w:t>
            </w:r>
          </w:p>
        </w:tc>
        <w:tc>
          <w:tcPr>
            <w:tcW w:w="735" w:type="dxa"/>
          </w:tcPr>
          <w:p w:rsidR="00000000" w:rsidRDefault="00000000">
            <w:pPr>
              <w:rPr>
                <w:sz w:val="18"/>
                <w:szCs w:val="18"/>
                <w:lang w:val="en-GB"/>
              </w:rPr>
            </w:pPr>
            <w:r>
              <w:rPr>
                <w:sz w:val="18"/>
                <w:szCs w:val="18"/>
                <w:lang w:val="en-GB"/>
              </w:rPr>
              <w:t>11.6</w:t>
            </w:r>
          </w:p>
        </w:tc>
        <w:tc>
          <w:tcPr>
            <w:tcW w:w="735" w:type="dxa"/>
          </w:tcPr>
          <w:p w:rsidR="00000000" w:rsidRDefault="00000000">
            <w:pPr>
              <w:rPr>
                <w:sz w:val="18"/>
                <w:szCs w:val="18"/>
                <w:lang w:val="en-GB"/>
              </w:rPr>
            </w:pPr>
            <w:r>
              <w:rPr>
                <w:sz w:val="18"/>
                <w:szCs w:val="18"/>
                <w:lang w:val="en-GB"/>
              </w:rPr>
              <w:t>8.6</w:t>
            </w:r>
          </w:p>
        </w:tc>
        <w:tc>
          <w:tcPr>
            <w:tcW w:w="747" w:type="dxa"/>
          </w:tcPr>
          <w:p w:rsidR="00000000" w:rsidRDefault="00000000">
            <w:pPr>
              <w:rPr>
                <w:sz w:val="18"/>
                <w:szCs w:val="18"/>
                <w:lang w:val="en-GB"/>
              </w:rPr>
            </w:pPr>
            <w:r>
              <w:rPr>
                <w:sz w:val="18"/>
                <w:szCs w:val="18"/>
                <w:lang w:val="en-GB"/>
              </w:rPr>
              <w:t>7.8</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Osje</w:t>
            </w:r>
            <w:r>
              <w:rPr>
                <w:sz w:val="21"/>
                <w:szCs w:val="21"/>
                <w:lang w:val="en-GB"/>
              </w:rPr>
              <w:t>č</w:t>
            </w:r>
            <w:r>
              <w:rPr>
                <w:sz w:val="18"/>
                <w:szCs w:val="18"/>
                <w:lang w:val="en-GB"/>
              </w:rPr>
              <w:t>ko-baranjska</w:t>
            </w:r>
          </w:p>
        </w:tc>
        <w:tc>
          <w:tcPr>
            <w:tcW w:w="771" w:type="dxa"/>
          </w:tcPr>
          <w:p w:rsidR="00000000" w:rsidRDefault="00000000">
            <w:pPr>
              <w:rPr>
                <w:sz w:val="18"/>
                <w:szCs w:val="18"/>
                <w:lang w:val="en-GB"/>
              </w:rPr>
            </w:pPr>
            <w:r>
              <w:rPr>
                <w:sz w:val="18"/>
                <w:szCs w:val="18"/>
                <w:lang w:val="en-GB"/>
              </w:rPr>
              <w:t>12.5</w:t>
            </w:r>
          </w:p>
        </w:tc>
        <w:tc>
          <w:tcPr>
            <w:tcW w:w="730" w:type="dxa"/>
          </w:tcPr>
          <w:p w:rsidR="00000000" w:rsidRDefault="00000000">
            <w:pPr>
              <w:rPr>
                <w:sz w:val="18"/>
                <w:szCs w:val="18"/>
                <w:lang w:val="en-GB"/>
              </w:rPr>
            </w:pPr>
            <w:r>
              <w:rPr>
                <w:sz w:val="18"/>
                <w:szCs w:val="18"/>
                <w:lang w:val="en-GB"/>
              </w:rPr>
              <w:t>137</w:t>
            </w:r>
          </w:p>
        </w:tc>
        <w:tc>
          <w:tcPr>
            <w:tcW w:w="766" w:type="dxa"/>
          </w:tcPr>
          <w:p w:rsidR="00000000" w:rsidRDefault="00000000">
            <w:pPr>
              <w:rPr>
                <w:sz w:val="18"/>
                <w:szCs w:val="18"/>
                <w:lang w:val="en-GB"/>
              </w:rPr>
            </w:pPr>
            <w:r>
              <w:rPr>
                <w:sz w:val="18"/>
                <w:szCs w:val="18"/>
                <w:lang w:val="en-GB"/>
              </w:rPr>
              <w:t>15.7</w:t>
            </w:r>
          </w:p>
        </w:tc>
        <w:tc>
          <w:tcPr>
            <w:tcW w:w="735" w:type="dxa"/>
          </w:tcPr>
          <w:p w:rsidR="00000000" w:rsidRDefault="00000000">
            <w:pPr>
              <w:rPr>
                <w:sz w:val="18"/>
                <w:szCs w:val="18"/>
                <w:lang w:val="en-GB"/>
              </w:rPr>
            </w:pPr>
            <w:r>
              <w:rPr>
                <w:sz w:val="18"/>
                <w:szCs w:val="18"/>
                <w:lang w:val="en-GB"/>
              </w:rPr>
              <w:t>12.7</w:t>
            </w:r>
          </w:p>
        </w:tc>
        <w:tc>
          <w:tcPr>
            <w:tcW w:w="735" w:type="dxa"/>
          </w:tcPr>
          <w:p w:rsidR="00000000" w:rsidRDefault="00000000">
            <w:pPr>
              <w:rPr>
                <w:sz w:val="18"/>
                <w:szCs w:val="18"/>
                <w:lang w:val="en-GB"/>
              </w:rPr>
            </w:pPr>
            <w:r>
              <w:rPr>
                <w:sz w:val="18"/>
                <w:szCs w:val="18"/>
                <w:lang w:val="en-GB"/>
              </w:rPr>
              <w:t>11.9</w:t>
            </w:r>
          </w:p>
        </w:tc>
        <w:tc>
          <w:tcPr>
            <w:tcW w:w="748" w:type="dxa"/>
          </w:tcPr>
          <w:p w:rsidR="00000000" w:rsidRDefault="00000000">
            <w:pPr>
              <w:rPr>
                <w:sz w:val="18"/>
                <w:szCs w:val="18"/>
                <w:lang w:val="en-GB"/>
              </w:rPr>
            </w:pPr>
            <w:r>
              <w:rPr>
                <w:sz w:val="18"/>
                <w:szCs w:val="18"/>
                <w:lang w:val="en-GB"/>
              </w:rPr>
              <w:t>11.9</w:t>
            </w:r>
          </w:p>
        </w:tc>
        <w:tc>
          <w:tcPr>
            <w:tcW w:w="735" w:type="dxa"/>
          </w:tcPr>
          <w:p w:rsidR="00000000" w:rsidRDefault="00000000">
            <w:pPr>
              <w:rPr>
                <w:sz w:val="18"/>
                <w:szCs w:val="18"/>
                <w:lang w:val="en-GB"/>
              </w:rPr>
            </w:pPr>
            <w:r>
              <w:rPr>
                <w:sz w:val="18"/>
                <w:szCs w:val="18"/>
                <w:lang w:val="en-GB"/>
              </w:rPr>
              <w:t>4.9</w:t>
            </w:r>
          </w:p>
        </w:tc>
        <w:tc>
          <w:tcPr>
            <w:tcW w:w="735" w:type="dxa"/>
          </w:tcPr>
          <w:p w:rsidR="00000000" w:rsidRDefault="00000000">
            <w:pPr>
              <w:rPr>
                <w:sz w:val="18"/>
                <w:szCs w:val="18"/>
                <w:lang w:val="en-GB"/>
              </w:rPr>
            </w:pPr>
            <w:r>
              <w:rPr>
                <w:sz w:val="18"/>
                <w:szCs w:val="18"/>
                <w:lang w:val="en-GB"/>
              </w:rPr>
              <w:t>11.0</w:t>
            </w:r>
          </w:p>
        </w:tc>
        <w:tc>
          <w:tcPr>
            <w:tcW w:w="747" w:type="dxa"/>
          </w:tcPr>
          <w:p w:rsidR="00000000" w:rsidRDefault="00000000">
            <w:pPr>
              <w:rPr>
                <w:sz w:val="18"/>
                <w:szCs w:val="18"/>
                <w:lang w:val="en-GB"/>
              </w:rPr>
            </w:pPr>
            <w:r>
              <w:rPr>
                <w:sz w:val="18"/>
                <w:szCs w:val="18"/>
                <w:lang w:val="en-GB"/>
              </w:rPr>
              <w:t>11.4</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Šibensko-kninska</w:t>
            </w:r>
          </w:p>
        </w:tc>
        <w:tc>
          <w:tcPr>
            <w:tcW w:w="771" w:type="dxa"/>
          </w:tcPr>
          <w:p w:rsidR="00000000" w:rsidRDefault="00000000">
            <w:pPr>
              <w:rPr>
                <w:sz w:val="18"/>
                <w:szCs w:val="18"/>
                <w:lang w:val="en-GB"/>
              </w:rPr>
            </w:pPr>
            <w:r>
              <w:rPr>
                <w:sz w:val="18"/>
                <w:szCs w:val="18"/>
                <w:lang w:val="en-GB"/>
              </w:rPr>
              <w:t>6.9</w:t>
            </w:r>
          </w:p>
        </w:tc>
        <w:tc>
          <w:tcPr>
            <w:tcW w:w="730" w:type="dxa"/>
          </w:tcPr>
          <w:p w:rsidR="00000000" w:rsidRDefault="00000000">
            <w:pPr>
              <w:rPr>
                <w:sz w:val="18"/>
                <w:szCs w:val="18"/>
                <w:lang w:val="en-GB"/>
              </w:rPr>
            </w:pPr>
            <w:r>
              <w:rPr>
                <w:sz w:val="18"/>
                <w:szCs w:val="18"/>
                <w:lang w:val="en-GB"/>
              </w:rPr>
              <w:t>19.1</w:t>
            </w:r>
          </w:p>
        </w:tc>
        <w:tc>
          <w:tcPr>
            <w:tcW w:w="766" w:type="dxa"/>
          </w:tcPr>
          <w:p w:rsidR="00000000" w:rsidRDefault="00000000">
            <w:pPr>
              <w:rPr>
                <w:sz w:val="18"/>
                <w:szCs w:val="18"/>
                <w:lang w:val="en-GB"/>
              </w:rPr>
            </w:pPr>
            <w:r>
              <w:rPr>
                <w:sz w:val="18"/>
                <w:szCs w:val="18"/>
                <w:lang w:val="en-GB"/>
              </w:rPr>
              <w:t>10.6</w:t>
            </w:r>
          </w:p>
        </w:tc>
        <w:tc>
          <w:tcPr>
            <w:tcW w:w="735" w:type="dxa"/>
          </w:tcPr>
          <w:p w:rsidR="00000000" w:rsidRDefault="00000000">
            <w:pPr>
              <w:rPr>
                <w:sz w:val="18"/>
                <w:szCs w:val="18"/>
                <w:lang w:val="en-GB"/>
              </w:rPr>
            </w:pPr>
            <w:r>
              <w:rPr>
                <w:sz w:val="18"/>
                <w:szCs w:val="18"/>
                <w:lang w:val="en-GB"/>
              </w:rPr>
              <w:t>11.2</w:t>
            </w:r>
          </w:p>
        </w:tc>
        <w:tc>
          <w:tcPr>
            <w:tcW w:w="735" w:type="dxa"/>
          </w:tcPr>
          <w:p w:rsidR="00000000" w:rsidRDefault="00000000">
            <w:pPr>
              <w:rPr>
                <w:sz w:val="18"/>
                <w:szCs w:val="18"/>
                <w:lang w:val="en-GB"/>
              </w:rPr>
            </w:pPr>
            <w:r>
              <w:rPr>
                <w:sz w:val="18"/>
                <w:szCs w:val="18"/>
                <w:lang w:val="en-GB"/>
              </w:rPr>
              <w:t>18.4</w:t>
            </w:r>
          </w:p>
        </w:tc>
        <w:tc>
          <w:tcPr>
            <w:tcW w:w="748" w:type="dxa"/>
          </w:tcPr>
          <w:p w:rsidR="00000000" w:rsidRDefault="00000000">
            <w:pPr>
              <w:rPr>
                <w:sz w:val="18"/>
                <w:szCs w:val="18"/>
                <w:lang w:val="en-GB"/>
              </w:rPr>
            </w:pPr>
            <w:r>
              <w:rPr>
                <w:sz w:val="18"/>
                <w:szCs w:val="18"/>
                <w:lang w:val="en-GB"/>
              </w:rPr>
              <w:t>10.0</w:t>
            </w:r>
          </w:p>
        </w:tc>
        <w:tc>
          <w:tcPr>
            <w:tcW w:w="735" w:type="dxa"/>
          </w:tcPr>
          <w:p w:rsidR="00000000" w:rsidRDefault="00000000">
            <w:pPr>
              <w:rPr>
                <w:sz w:val="18"/>
                <w:szCs w:val="18"/>
                <w:lang w:val="en-GB"/>
              </w:rPr>
            </w:pPr>
            <w:r>
              <w:rPr>
                <w:sz w:val="18"/>
                <w:szCs w:val="18"/>
                <w:lang w:val="en-GB"/>
              </w:rPr>
              <w:t>5.4</w:t>
            </w:r>
          </w:p>
        </w:tc>
        <w:tc>
          <w:tcPr>
            <w:tcW w:w="735" w:type="dxa"/>
          </w:tcPr>
          <w:p w:rsidR="00000000" w:rsidRDefault="00000000">
            <w:pPr>
              <w:rPr>
                <w:sz w:val="18"/>
                <w:szCs w:val="18"/>
                <w:lang w:val="en-GB"/>
              </w:rPr>
            </w:pPr>
            <w:r>
              <w:rPr>
                <w:sz w:val="18"/>
                <w:szCs w:val="18"/>
                <w:lang w:val="en-GB"/>
              </w:rPr>
              <w:t>8.8</w:t>
            </w:r>
          </w:p>
        </w:tc>
        <w:tc>
          <w:tcPr>
            <w:tcW w:w="747" w:type="dxa"/>
          </w:tcPr>
          <w:p w:rsidR="00000000" w:rsidRDefault="00000000">
            <w:pPr>
              <w:rPr>
                <w:sz w:val="18"/>
                <w:szCs w:val="18"/>
                <w:lang w:val="en-GB"/>
              </w:rPr>
            </w:pPr>
            <w:r>
              <w:rPr>
                <w:sz w:val="18"/>
                <w:szCs w:val="18"/>
                <w:lang w:val="en-GB"/>
              </w:rPr>
              <w:t>6.8</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Vukovarsko-srijemska</w:t>
            </w:r>
          </w:p>
        </w:tc>
        <w:tc>
          <w:tcPr>
            <w:tcW w:w="771" w:type="dxa"/>
          </w:tcPr>
          <w:p w:rsidR="00000000" w:rsidRDefault="00000000">
            <w:pPr>
              <w:rPr>
                <w:sz w:val="18"/>
                <w:szCs w:val="18"/>
                <w:lang w:val="en-GB"/>
              </w:rPr>
            </w:pPr>
            <w:r>
              <w:rPr>
                <w:sz w:val="18"/>
                <w:szCs w:val="18"/>
                <w:lang w:val="en-GB"/>
              </w:rPr>
              <w:t>17.0</w:t>
            </w:r>
          </w:p>
        </w:tc>
        <w:tc>
          <w:tcPr>
            <w:tcW w:w="730" w:type="dxa"/>
          </w:tcPr>
          <w:p w:rsidR="00000000" w:rsidRDefault="00000000">
            <w:pPr>
              <w:rPr>
                <w:sz w:val="18"/>
                <w:szCs w:val="18"/>
                <w:lang w:val="en-GB"/>
              </w:rPr>
            </w:pPr>
            <w:r>
              <w:rPr>
                <w:sz w:val="18"/>
                <w:szCs w:val="18"/>
                <w:lang w:val="en-GB"/>
              </w:rPr>
              <w:t>18.6</w:t>
            </w:r>
          </w:p>
        </w:tc>
        <w:tc>
          <w:tcPr>
            <w:tcW w:w="766" w:type="dxa"/>
          </w:tcPr>
          <w:p w:rsidR="00000000" w:rsidRDefault="00000000">
            <w:pPr>
              <w:rPr>
                <w:sz w:val="18"/>
                <w:szCs w:val="18"/>
                <w:lang w:val="en-GB"/>
              </w:rPr>
            </w:pPr>
            <w:r>
              <w:rPr>
                <w:sz w:val="18"/>
                <w:szCs w:val="18"/>
                <w:lang w:val="en-GB"/>
              </w:rPr>
              <w:t>11.6</w:t>
            </w:r>
          </w:p>
        </w:tc>
        <w:tc>
          <w:tcPr>
            <w:tcW w:w="735" w:type="dxa"/>
          </w:tcPr>
          <w:p w:rsidR="00000000" w:rsidRDefault="00000000">
            <w:pPr>
              <w:rPr>
                <w:sz w:val="18"/>
                <w:szCs w:val="18"/>
                <w:lang w:val="en-GB"/>
              </w:rPr>
            </w:pPr>
            <w:r>
              <w:rPr>
                <w:sz w:val="18"/>
                <w:szCs w:val="18"/>
                <w:lang w:val="en-GB"/>
              </w:rPr>
              <w:t>10.9</w:t>
            </w:r>
          </w:p>
        </w:tc>
        <w:tc>
          <w:tcPr>
            <w:tcW w:w="735" w:type="dxa"/>
          </w:tcPr>
          <w:p w:rsidR="00000000" w:rsidRDefault="00000000">
            <w:pPr>
              <w:rPr>
                <w:sz w:val="18"/>
                <w:szCs w:val="18"/>
                <w:lang w:val="en-GB"/>
              </w:rPr>
            </w:pPr>
            <w:r>
              <w:rPr>
                <w:sz w:val="18"/>
                <w:szCs w:val="18"/>
                <w:lang w:val="en-GB"/>
              </w:rPr>
              <w:t>11.4</w:t>
            </w:r>
          </w:p>
        </w:tc>
        <w:tc>
          <w:tcPr>
            <w:tcW w:w="748" w:type="dxa"/>
          </w:tcPr>
          <w:p w:rsidR="00000000" w:rsidRDefault="00000000">
            <w:pPr>
              <w:rPr>
                <w:sz w:val="18"/>
                <w:szCs w:val="18"/>
                <w:lang w:val="en-GB"/>
              </w:rPr>
            </w:pPr>
            <w:r>
              <w:rPr>
                <w:sz w:val="18"/>
                <w:szCs w:val="18"/>
                <w:lang w:val="en-GB"/>
              </w:rPr>
              <w:t>9.3</w:t>
            </w:r>
          </w:p>
        </w:tc>
        <w:tc>
          <w:tcPr>
            <w:tcW w:w="735" w:type="dxa"/>
          </w:tcPr>
          <w:p w:rsidR="00000000" w:rsidRDefault="00000000">
            <w:pPr>
              <w:rPr>
                <w:sz w:val="18"/>
                <w:szCs w:val="18"/>
                <w:lang w:val="en-GB"/>
              </w:rPr>
            </w:pPr>
            <w:r>
              <w:rPr>
                <w:sz w:val="18"/>
                <w:szCs w:val="18"/>
                <w:lang w:val="en-GB"/>
              </w:rPr>
              <w:t>8.6</w:t>
            </w:r>
          </w:p>
        </w:tc>
        <w:tc>
          <w:tcPr>
            <w:tcW w:w="735" w:type="dxa"/>
          </w:tcPr>
          <w:p w:rsidR="00000000" w:rsidRDefault="00000000">
            <w:pPr>
              <w:rPr>
                <w:sz w:val="18"/>
                <w:szCs w:val="18"/>
                <w:lang w:val="en-GB"/>
              </w:rPr>
            </w:pPr>
            <w:r>
              <w:rPr>
                <w:sz w:val="18"/>
                <w:szCs w:val="18"/>
                <w:lang w:val="en-GB"/>
              </w:rPr>
              <w:t>5.9</w:t>
            </w:r>
          </w:p>
        </w:tc>
        <w:tc>
          <w:tcPr>
            <w:tcW w:w="747" w:type="dxa"/>
          </w:tcPr>
          <w:p w:rsidR="00000000" w:rsidRDefault="00000000">
            <w:pPr>
              <w:rPr>
                <w:sz w:val="18"/>
                <w:szCs w:val="18"/>
                <w:lang w:val="en-GB"/>
              </w:rPr>
            </w:pPr>
            <w:r>
              <w:rPr>
                <w:sz w:val="18"/>
                <w:szCs w:val="18"/>
                <w:lang w:val="en-GB"/>
              </w:rPr>
              <w:t>7.3</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Splitsko-dalmatinska</w:t>
            </w:r>
          </w:p>
        </w:tc>
        <w:tc>
          <w:tcPr>
            <w:tcW w:w="771" w:type="dxa"/>
          </w:tcPr>
          <w:p w:rsidR="00000000" w:rsidRDefault="00000000">
            <w:pPr>
              <w:rPr>
                <w:sz w:val="18"/>
                <w:szCs w:val="18"/>
                <w:lang w:val="en-GB"/>
              </w:rPr>
            </w:pPr>
            <w:r>
              <w:rPr>
                <w:sz w:val="18"/>
                <w:szCs w:val="18"/>
                <w:lang w:val="en-GB"/>
              </w:rPr>
              <w:t>7.4</w:t>
            </w:r>
          </w:p>
        </w:tc>
        <w:tc>
          <w:tcPr>
            <w:tcW w:w="730" w:type="dxa"/>
          </w:tcPr>
          <w:p w:rsidR="00000000" w:rsidRDefault="00000000">
            <w:pPr>
              <w:rPr>
                <w:sz w:val="18"/>
                <w:szCs w:val="18"/>
                <w:lang w:val="en-GB"/>
              </w:rPr>
            </w:pPr>
            <w:r>
              <w:rPr>
                <w:sz w:val="18"/>
                <w:szCs w:val="18"/>
                <w:lang w:val="en-GB"/>
              </w:rPr>
              <w:t>10.3</w:t>
            </w:r>
          </w:p>
        </w:tc>
        <w:tc>
          <w:tcPr>
            <w:tcW w:w="766" w:type="dxa"/>
          </w:tcPr>
          <w:p w:rsidR="00000000" w:rsidRDefault="00000000">
            <w:pPr>
              <w:rPr>
                <w:sz w:val="18"/>
                <w:szCs w:val="18"/>
                <w:lang w:val="en-GB"/>
              </w:rPr>
            </w:pPr>
            <w:r>
              <w:rPr>
                <w:sz w:val="18"/>
                <w:szCs w:val="18"/>
                <w:lang w:val="en-GB"/>
              </w:rPr>
              <w:t>13.6</w:t>
            </w:r>
          </w:p>
        </w:tc>
        <w:tc>
          <w:tcPr>
            <w:tcW w:w="735" w:type="dxa"/>
          </w:tcPr>
          <w:p w:rsidR="00000000" w:rsidRDefault="00000000">
            <w:pPr>
              <w:rPr>
                <w:sz w:val="18"/>
                <w:szCs w:val="18"/>
                <w:lang w:val="en-GB"/>
              </w:rPr>
            </w:pPr>
            <w:r>
              <w:rPr>
                <w:sz w:val="18"/>
                <w:szCs w:val="18"/>
                <w:lang w:val="en-GB"/>
              </w:rPr>
              <w:t>8.5</w:t>
            </w:r>
          </w:p>
        </w:tc>
        <w:tc>
          <w:tcPr>
            <w:tcW w:w="735" w:type="dxa"/>
          </w:tcPr>
          <w:p w:rsidR="00000000" w:rsidRDefault="00000000">
            <w:pPr>
              <w:rPr>
                <w:sz w:val="18"/>
                <w:szCs w:val="18"/>
                <w:lang w:val="en-GB"/>
              </w:rPr>
            </w:pPr>
            <w:r>
              <w:rPr>
                <w:sz w:val="18"/>
                <w:szCs w:val="18"/>
                <w:lang w:val="en-GB"/>
              </w:rPr>
              <w:t>11.7</w:t>
            </w:r>
          </w:p>
        </w:tc>
        <w:tc>
          <w:tcPr>
            <w:tcW w:w="748" w:type="dxa"/>
          </w:tcPr>
          <w:p w:rsidR="00000000" w:rsidRDefault="00000000">
            <w:pPr>
              <w:rPr>
                <w:sz w:val="18"/>
                <w:szCs w:val="18"/>
                <w:lang w:val="en-GB"/>
              </w:rPr>
            </w:pPr>
            <w:r>
              <w:rPr>
                <w:sz w:val="18"/>
                <w:szCs w:val="18"/>
                <w:lang w:val="en-GB"/>
              </w:rPr>
              <w:t>9.2</w:t>
            </w:r>
          </w:p>
        </w:tc>
        <w:tc>
          <w:tcPr>
            <w:tcW w:w="735" w:type="dxa"/>
          </w:tcPr>
          <w:p w:rsidR="00000000" w:rsidRDefault="00000000">
            <w:pPr>
              <w:rPr>
                <w:sz w:val="18"/>
                <w:szCs w:val="18"/>
                <w:lang w:val="en-GB"/>
              </w:rPr>
            </w:pPr>
            <w:r>
              <w:rPr>
                <w:sz w:val="18"/>
                <w:szCs w:val="18"/>
                <w:lang w:val="en-GB"/>
              </w:rPr>
              <w:t>7.7</w:t>
            </w:r>
          </w:p>
        </w:tc>
        <w:tc>
          <w:tcPr>
            <w:tcW w:w="735" w:type="dxa"/>
          </w:tcPr>
          <w:p w:rsidR="00000000" w:rsidRDefault="00000000">
            <w:pPr>
              <w:rPr>
                <w:sz w:val="18"/>
                <w:szCs w:val="18"/>
                <w:lang w:val="en-GB"/>
              </w:rPr>
            </w:pPr>
            <w:r>
              <w:rPr>
                <w:sz w:val="18"/>
                <w:szCs w:val="18"/>
                <w:lang w:val="en-GB"/>
              </w:rPr>
              <w:t>7.2</w:t>
            </w:r>
          </w:p>
        </w:tc>
        <w:tc>
          <w:tcPr>
            <w:tcW w:w="747" w:type="dxa"/>
          </w:tcPr>
          <w:p w:rsidR="00000000" w:rsidRDefault="00000000">
            <w:pPr>
              <w:rPr>
                <w:sz w:val="18"/>
                <w:szCs w:val="18"/>
                <w:lang w:val="en-GB"/>
              </w:rPr>
            </w:pPr>
            <w:r>
              <w:rPr>
                <w:sz w:val="18"/>
                <w:szCs w:val="18"/>
                <w:lang w:val="en-GB"/>
              </w:rPr>
              <w:t>6.1</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Istarska</w:t>
            </w:r>
          </w:p>
        </w:tc>
        <w:tc>
          <w:tcPr>
            <w:tcW w:w="771" w:type="dxa"/>
          </w:tcPr>
          <w:p w:rsidR="00000000" w:rsidRDefault="00000000">
            <w:pPr>
              <w:rPr>
                <w:sz w:val="18"/>
                <w:szCs w:val="18"/>
                <w:lang w:val="en-GB"/>
              </w:rPr>
            </w:pPr>
            <w:r>
              <w:rPr>
                <w:sz w:val="18"/>
                <w:szCs w:val="18"/>
                <w:lang w:val="en-GB"/>
              </w:rPr>
              <w:t>10.1</w:t>
            </w:r>
          </w:p>
        </w:tc>
        <w:tc>
          <w:tcPr>
            <w:tcW w:w="730" w:type="dxa"/>
          </w:tcPr>
          <w:p w:rsidR="00000000" w:rsidRDefault="00000000">
            <w:pPr>
              <w:rPr>
                <w:sz w:val="18"/>
                <w:szCs w:val="18"/>
                <w:lang w:val="en-GB"/>
              </w:rPr>
            </w:pPr>
            <w:r>
              <w:rPr>
                <w:sz w:val="18"/>
                <w:szCs w:val="18"/>
                <w:lang w:val="en-GB"/>
              </w:rPr>
              <w:t>6.8</w:t>
            </w:r>
          </w:p>
        </w:tc>
        <w:tc>
          <w:tcPr>
            <w:tcW w:w="766" w:type="dxa"/>
          </w:tcPr>
          <w:p w:rsidR="00000000" w:rsidRDefault="00000000">
            <w:pPr>
              <w:rPr>
                <w:sz w:val="18"/>
                <w:szCs w:val="18"/>
                <w:lang w:val="en-GB"/>
              </w:rPr>
            </w:pPr>
            <w:r>
              <w:rPr>
                <w:sz w:val="18"/>
                <w:szCs w:val="18"/>
                <w:lang w:val="en-GB"/>
              </w:rPr>
              <w:t>14.4</w:t>
            </w:r>
          </w:p>
        </w:tc>
        <w:tc>
          <w:tcPr>
            <w:tcW w:w="735" w:type="dxa"/>
          </w:tcPr>
          <w:p w:rsidR="00000000" w:rsidRDefault="00000000">
            <w:pPr>
              <w:rPr>
                <w:sz w:val="18"/>
                <w:szCs w:val="18"/>
                <w:lang w:val="en-GB"/>
              </w:rPr>
            </w:pPr>
            <w:r>
              <w:rPr>
                <w:sz w:val="18"/>
                <w:szCs w:val="18"/>
                <w:lang w:val="en-GB"/>
              </w:rPr>
              <w:t>8.9</w:t>
            </w:r>
          </w:p>
        </w:tc>
        <w:tc>
          <w:tcPr>
            <w:tcW w:w="735" w:type="dxa"/>
          </w:tcPr>
          <w:p w:rsidR="00000000" w:rsidRDefault="00000000">
            <w:pPr>
              <w:rPr>
                <w:sz w:val="18"/>
                <w:szCs w:val="18"/>
                <w:lang w:val="en-GB"/>
              </w:rPr>
            </w:pPr>
            <w:r>
              <w:rPr>
                <w:sz w:val="18"/>
                <w:szCs w:val="18"/>
                <w:lang w:val="en-GB"/>
              </w:rPr>
              <w:t>4.8</w:t>
            </w:r>
          </w:p>
        </w:tc>
        <w:tc>
          <w:tcPr>
            <w:tcW w:w="748" w:type="dxa"/>
          </w:tcPr>
          <w:p w:rsidR="00000000" w:rsidRDefault="00000000">
            <w:pPr>
              <w:rPr>
                <w:sz w:val="18"/>
                <w:szCs w:val="18"/>
                <w:lang w:val="en-GB"/>
              </w:rPr>
            </w:pPr>
            <w:r>
              <w:rPr>
                <w:sz w:val="18"/>
                <w:szCs w:val="18"/>
                <w:lang w:val="en-GB"/>
              </w:rPr>
              <w:t>8.7</w:t>
            </w:r>
          </w:p>
        </w:tc>
        <w:tc>
          <w:tcPr>
            <w:tcW w:w="735" w:type="dxa"/>
          </w:tcPr>
          <w:p w:rsidR="00000000" w:rsidRDefault="00000000">
            <w:pPr>
              <w:rPr>
                <w:sz w:val="18"/>
                <w:szCs w:val="18"/>
                <w:lang w:val="en-GB"/>
              </w:rPr>
            </w:pPr>
            <w:r>
              <w:rPr>
                <w:sz w:val="18"/>
                <w:szCs w:val="18"/>
                <w:lang w:val="en-GB"/>
              </w:rPr>
              <w:t>6.2</w:t>
            </w:r>
          </w:p>
        </w:tc>
        <w:tc>
          <w:tcPr>
            <w:tcW w:w="735" w:type="dxa"/>
          </w:tcPr>
          <w:p w:rsidR="00000000" w:rsidRDefault="00000000">
            <w:pPr>
              <w:rPr>
                <w:sz w:val="18"/>
                <w:szCs w:val="18"/>
                <w:lang w:val="en-GB"/>
              </w:rPr>
            </w:pPr>
            <w:r>
              <w:rPr>
                <w:sz w:val="18"/>
                <w:szCs w:val="18"/>
                <w:lang w:val="en-GB"/>
              </w:rPr>
              <w:t>4.3</w:t>
            </w:r>
          </w:p>
        </w:tc>
        <w:tc>
          <w:tcPr>
            <w:tcW w:w="747" w:type="dxa"/>
          </w:tcPr>
          <w:p w:rsidR="00000000" w:rsidRDefault="00000000">
            <w:pPr>
              <w:rPr>
                <w:sz w:val="18"/>
                <w:szCs w:val="18"/>
                <w:lang w:val="en-GB"/>
              </w:rPr>
            </w:pPr>
            <w:r>
              <w:rPr>
                <w:sz w:val="18"/>
                <w:szCs w:val="18"/>
                <w:lang w:val="en-GB"/>
              </w:rPr>
              <w:t>7.8</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Dubrova</w:t>
            </w:r>
            <w:r>
              <w:rPr>
                <w:sz w:val="21"/>
                <w:szCs w:val="21"/>
                <w:lang w:val="en-GB"/>
              </w:rPr>
              <w:t>č</w:t>
            </w:r>
            <w:r>
              <w:rPr>
                <w:sz w:val="18"/>
                <w:szCs w:val="18"/>
                <w:lang w:val="en-GB"/>
              </w:rPr>
              <w:t>ko-neretvanska</w:t>
            </w:r>
          </w:p>
        </w:tc>
        <w:tc>
          <w:tcPr>
            <w:tcW w:w="771" w:type="dxa"/>
          </w:tcPr>
          <w:p w:rsidR="00000000" w:rsidRDefault="00000000">
            <w:pPr>
              <w:rPr>
                <w:sz w:val="18"/>
                <w:szCs w:val="18"/>
                <w:lang w:val="en-GB"/>
              </w:rPr>
            </w:pPr>
            <w:r>
              <w:rPr>
                <w:sz w:val="18"/>
                <w:szCs w:val="18"/>
                <w:lang w:val="en-GB"/>
              </w:rPr>
              <w:t>8.7</w:t>
            </w:r>
          </w:p>
        </w:tc>
        <w:tc>
          <w:tcPr>
            <w:tcW w:w="730" w:type="dxa"/>
          </w:tcPr>
          <w:p w:rsidR="00000000" w:rsidRDefault="00000000">
            <w:pPr>
              <w:rPr>
                <w:sz w:val="18"/>
                <w:szCs w:val="18"/>
                <w:lang w:val="en-GB"/>
              </w:rPr>
            </w:pPr>
            <w:r>
              <w:rPr>
                <w:sz w:val="18"/>
                <w:szCs w:val="18"/>
                <w:lang w:val="en-GB"/>
              </w:rPr>
              <w:t>7.0</w:t>
            </w:r>
          </w:p>
        </w:tc>
        <w:tc>
          <w:tcPr>
            <w:tcW w:w="766" w:type="dxa"/>
          </w:tcPr>
          <w:p w:rsidR="00000000" w:rsidRDefault="00000000">
            <w:pPr>
              <w:rPr>
                <w:sz w:val="18"/>
                <w:szCs w:val="18"/>
                <w:lang w:val="en-GB"/>
              </w:rPr>
            </w:pPr>
            <w:r>
              <w:rPr>
                <w:sz w:val="18"/>
                <w:szCs w:val="18"/>
                <w:lang w:val="en-GB"/>
              </w:rPr>
              <w:t>6.7</w:t>
            </w:r>
          </w:p>
        </w:tc>
        <w:tc>
          <w:tcPr>
            <w:tcW w:w="735" w:type="dxa"/>
          </w:tcPr>
          <w:p w:rsidR="00000000" w:rsidRDefault="00000000">
            <w:pPr>
              <w:rPr>
                <w:sz w:val="18"/>
                <w:szCs w:val="18"/>
                <w:lang w:val="en-GB"/>
              </w:rPr>
            </w:pPr>
            <w:r>
              <w:rPr>
                <w:sz w:val="18"/>
                <w:szCs w:val="18"/>
                <w:lang w:val="en-GB"/>
              </w:rPr>
              <w:t>10.6</w:t>
            </w:r>
          </w:p>
        </w:tc>
        <w:tc>
          <w:tcPr>
            <w:tcW w:w="735" w:type="dxa"/>
          </w:tcPr>
          <w:p w:rsidR="00000000" w:rsidRDefault="00000000">
            <w:pPr>
              <w:rPr>
                <w:sz w:val="18"/>
                <w:szCs w:val="18"/>
                <w:lang w:val="en-GB"/>
              </w:rPr>
            </w:pPr>
            <w:r>
              <w:rPr>
                <w:sz w:val="18"/>
                <w:szCs w:val="18"/>
                <w:lang w:val="en-GB"/>
              </w:rPr>
              <w:t>10.2</w:t>
            </w:r>
          </w:p>
        </w:tc>
        <w:tc>
          <w:tcPr>
            <w:tcW w:w="748" w:type="dxa"/>
          </w:tcPr>
          <w:p w:rsidR="00000000" w:rsidRDefault="00000000">
            <w:pPr>
              <w:rPr>
                <w:sz w:val="18"/>
                <w:szCs w:val="18"/>
                <w:lang w:val="en-GB"/>
              </w:rPr>
            </w:pPr>
            <w:r>
              <w:rPr>
                <w:sz w:val="18"/>
                <w:szCs w:val="18"/>
                <w:lang w:val="en-GB"/>
              </w:rPr>
              <w:t>9.9</w:t>
            </w:r>
          </w:p>
        </w:tc>
        <w:tc>
          <w:tcPr>
            <w:tcW w:w="735" w:type="dxa"/>
          </w:tcPr>
          <w:p w:rsidR="00000000" w:rsidRDefault="00000000">
            <w:pPr>
              <w:rPr>
                <w:sz w:val="18"/>
                <w:szCs w:val="18"/>
                <w:lang w:val="en-GB"/>
              </w:rPr>
            </w:pPr>
            <w:r>
              <w:rPr>
                <w:sz w:val="18"/>
                <w:szCs w:val="18"/>
                <w:lang w:val="en-GB"/>
              </w:rPr>
              <w:t>8.1</w:t>
            </w:r>
          </w:p>
        </w:tc>
        <w:tc>
          <w:tcPr>
            <w:tcW w:w="735" w:type="dxa"/>
          </w:tcPr>
          <w:p w:rsidR="00000000" w:rsidRDefault="00000000">
            <w:pPr>
              <w:rPr>
                <w:sz w:val="18"/>
                <w:szCs w:val="18"/>
                <w:lang w:val="en-GB"/>
              </w:rPr>
            </w:pPr>
            <w:r>
              <w:rPr>
                <w:sz w:val="18"/>
                <w:szCs w:val="18"/>
                <w:lang w:val="en-GB"/>
              </w:rPr>
              <w:t>7.8</w:t>
            </w:r>
          </w:p>
        </w:tc>
        <w:tc>
          <w:tcPr>
            <w:tcW w:w="747" w:type="dxa"/>
          </w:tcPr>
          <w:p w:rsidR="00000000" w:rsidRDefault="00000000">
            <w:pPr>
              <w:rPr>
                <w:sz w:val="18"/>
                <w:szCs w:val="18"/>
                <w:lang w:val="en-GB"/>
              </w:rPr>
            </w:pPr>
            <w:r>
              <w:rPr>
                <w:sz w:val="18"/>
                <w:szCs w:val="18"/>
                <w:lang w:val="en-GB"/>
              </w:rPr>
              <w:t>5.7</w:t>
            </w:r>
          </w:p>
        </w:tc>
      </w:tr>
      <w:tr w:rsidR="00000000">
        <w:tblPrEx>
          <w:tblCellMar>
            <w:top w:w="0" w:type="dxa"/>
            <w:bottom w:w="0" w:type="dxa"/>
          </w:tblCellMar>
        </w:tblPrEx>
        <w:tc>
          <w:tcPr>
            <w:tcW w:w="2592" w:type="dxa"/>
          </w:tcPr>
          <w:p w:rsidR="00000000" w:rsidRDefault="00000000">
            <w:pPr>
              <w:rPr>
                <w:sz w:val="18"/>
                <w:szCs w:val="18"/>
                <w:lang w:val="en-GB"/>
              </w:rPr>
            </w:pPr>
            <w:r>
              <w:rPr>
                <w:sz w:val="18"/>
                <w:szCs w:val="18"/>
                <w:lang w:val="en-GB"/>
              </w:rPr>
              <w:t>Meðimurska</w:t>
            </w:r>
          </w:p>
        </w:tc>
        <w:tc>
          <w:tcPr>
            <w:tcW w:w="771" w:type="dxa"/>
          </w:tcPr>
          <w:p w:rsidR="00000000" w:rsidRDefault="00000000">
            <w:pPr>
              <w:rPr>
                <w:sz w:val="18"/>
                <w:szCs w:val="18"/>
                <w:lang w:val="en-GB"/>
              </w:rPr>
            </w:pPr>
            <w:r>
              <w:rPr>
                <w:sz w:val="18"/>
                <w:szCs w:val="18"/>
                <w:lang w:val="en-GB"/>
              </w:rPr>
              <w:t>11.0</w:t>
            </w:r>
          </w:p>
        </w:tc>
        <w:tc>
          <w:tcPr>
            <w:tcW w:w="730" w:type="dxa"/>
          </w:tcPr>
          <w:p w:rsidR="00000000" w:rsidRDefault="00000000">
            <w:pPr>
              <w:rPr>
                <w:sz w:val="18"/>
                <w:szCs w:val="18"/>
                <w:lang w:val="en-GB"/>
              </w:rPr>
            </w:pPr>
            <w:r>
              <w:rPr>
                <w:sz w:val="18"/>
                <w:szCs w:val="18"/>
                <w:lang w:val="en-GB"/>
              </w:rPr>
              <w:t>16.0</w:t>
            </w:r>
          </w:p>
        </w:tc>
        <w:tc>
          <w:tcPr>
            <w:tcW w:w="766" w:type="dxa"/>
          </w:tcPr>
          <w:p w:rsidR="00000000" w:rsidRDefault="00000000">
            <w:pPr>
              <w:rPr>
                <w:sz w:val="18"/>
                <w:szCs w:val="18"/>
                <w:lang w:val="en-GB"/>
              </w:rPr>
            </w:pPr>
            <w:r>
              <w:rPr>
                <w:sz w:val="18"/>
                <w:szCs w:val="18"/>
                <w:lang w:val="en-GB"/>
              </w:rPr>
              <w:t>15.6</w:t>
            </w:r>
          </w:p>
        </w:tc>
        <w:tc>
          <w:tcPr>
            <w:tcW w:w="735" w:type="dxa"/>
          </w:tcPr>
          <w:p w:rsidR="00000000" w:rsidRDefault="00000000">
            <w:pPr>
              <w:rPr>
                <w:sz w:val="18"/>
                <w:szCs w:val="18"/>
                <w:lang w:val="en-GB"/>
              </w:rPr>
            </w:pPr>
            <w:r>
              <w:rPr>
                <w:sz w:val="18"/>
                <w:szCs w:val="18"/>
                <w:lang w:val="en-GB"/>
              </w:rPr>
              <w:t>14.7</w:t>
            </w:r>
          </w:p>
        </w:tc>
        <w:tc>
          <w:tcPr>
            <w:tcW w:w="735" w:type="dxa"/>
          </w:tcPr>
          <w:p w:rsidR="00000000" w:rsidRDefault="00000000">
            <w:pPr>
              <w:rPr>
                <w:sz w:val="18"/>
                <w:szCs w:val="18"/>
                <w:lang w:val="en-GB"/>
              </w:rPr>
            </w:pPr>
            <w:r>
              <w:rPr>
                <w:sz w:val="18"/>
                <w:szCs w:val="18"/>
                <w:lang w:val="en-GB"/>
              </w:rPr>
              <w:t>13.8</w:t>
            </w:r>
          </w:p>
        </w:tc>
        <w:tc>
          <w:tcPr>
            <w:tcW w:w="748" w:type="dxa"/>
          </w:tcPr>
          <w:p w:rsidR="00000000" w:rsidRDefault="00000000">
            <w:pPr>
              <w:rPr>
                <w:sz w:val="18"/>
                <w:szCs w:val="18"/>
                <w:lang w:val="en-GB"/>
              </w:rPr>
            </w:pPr>
            <w:r>
              <w:rPr>
                <w:sz w:val="18"/>
                <w:szCs w:val="18"/>
                <w:lang w:val="en-GB"/>
              </w:rPr>
              <w:t>14.3</w:t>
            </w:r>
          </w:p>
        </w:tc>
        <w:tc>
          <w:tcPr>
            <w:tcW w:w="735" w:type="dxa"/>
          </w:tcPr>
          <w:p w:rsidR="00000000" w:rsidRDefault="00000000">
            <w:pPr>
              <w:rPr>
                <w:sz w:val="18"/>
                <w:szCs w:val="18"/>
                <w:lang w:val="en-GB"/>
              </w:rPr>
            </w:pPr>
            <w:r>
              <w:rPr>
                <w:sz w:val="18"/>
                <w:szCs w:val="18"/>
                <w:lang w:val="en-GB"/>
              </w:rPr>
              <w:t>12.6</w:t>
            </w:r>
          </w:p>
        </w:tc>
        <w:tc>
          <w:tcPr>
            <w:tcW w:w="735" w:type="dxa"/>
          </w:tcPr>
          <w:p w:rsidR="00000000" w:rsidRDefault="00000000">
            <w:pPr>
              <w:rPr>
                <w:sz w:val="18"/>
                <w:szCs w:val="18"/>
                <w:lang w:val="en-GB"/>
              </w:rPr>
            </w:pPr>
            <w:r>
              <w:rPr>
                <w:sz w:val="18"/>
                <w:szCs w:val="18"/>
                <w:lang w:val="en-GB"/>
              </w:rPr>
              <w:t>13.1</w:t>
            </w:r>
          </w:p>
        </w:tc>
        <w:tc>
          <w:tcPr>
            <w:tcW w:w="747" w:type="dxa"/>
          </w:tcPr>
          <w:p w:rsidR="00000000" w:rsidRDefault="00000000">
            <w:pPr>
              <w:rPr>
                <w:sz w:val="18"/>
                <w:szCs w:val="18"/>
                <w:lang w:val="en-GB"/>
              </w:rPr>
            </w:pPr>
            <w:r>
              <w:rPr>
                <w:sz w:val="18"/>
                <w:szCs w:val="18"/>
                <w:lang w:val="en-GB"/>
              </w:rPr>
              <w:t>16.0</w:t>
            </w:r>
          </w:p>
        </w:tc>
      </w:tr>
      <w:tr w:rsidR="00000000">
        <w:tblPrEx>
          <w:tblCellMar>
            <w:top w:w="0" w:type="dxa"/>
            <w:bottom w:w="0" w:type="dxa"/>
          </w:tblCellMar>
        </w:tblPrEx>
        <w:tc>
          <w:tcPr>
            <w:tcW w:w="2592" w:type="dxa"/>
            <w:tcBorders>
              <w:bottom w:val="single" w:sz="4" w:space="0" w:color="auto"/>
            </w:tcBorders>
          </w:tcPr>
          <w:p w:rsidR="00000000" w:rsidRDefault="00000000">
            <w:pPr>
              <w:rPr>
                <w:sz w:val="18"/>
                <w:szCs w:val="18"/>
                <w:lang w:val="en-GB"/>
              </w:rPr>
            </w:pPr>
            <w:r>
              <w:rPr>
                <w:sz w:val="18"/>
                <w:szCs w:val="18"/>
                <w:lang w:val="en-GB"/>
              </w:rPr>
              <w:t xml:space="preserve">   </w:t>
            </w:r>
            <w:r>
              <w:rPr>
                <w:b/>
                <w:bCs/>
                <w:sz w:val="18"/>
                <w:szCs w:val="18"/>
                <w:lang w:val="en-GB"/>
              </w:rPr>
              <w:t>CROATIA</w:t>
            </w:r>
          </w:p>
        </w:tc>
        <w:tc>
          <w:tcPr>
            <w:tcW w:w="771" w:type="dxa"/>
            <w:tcBorders>
              <w:bottom w:val="single" w:sz="4" w:space="0" w:color="auto"/>
            </w:tcBorders>
          </w:tcPr>
          <w:p w:rsidR="00000000" w:rsidRDefault="00000000">
            <w:pPr>
              <w:rPr>
                <w:sz w:val="18"/>
                <w:szCs w:val="18"/>
                <w:lang w:val="en-GB"/>
              </w:rPr>
            </w:pPr>
            <w:r>
              <w:rPr>
                <w:sz w:val="18"/>
                <w:szCs w:val="18"/>
                <w:lang w:val="en-GB"/>
              </w:rPr>
              <w:t>10.7</w:t>
            </w:r>
          </w:p>
        </w:tc>
        <w:tc>
          <w:tcPr>
            <w:tcW w:w="730" w:type="dxa"/>
            <w:tcBorders>
              <w:bottom w:val="single" w:sz="4" w:space="0" w:color="auto"/>
            </w:tcBorders>
          </w:tcPr>
          <w:p w:rsidR="00000000" w:rsidRDefault="00000000">
            <w:pPr>
              <w:rPr>
                <w:sz w:val="18"/>
                <w:szCs w:val="18"/>
                <w:lang w:val="en-GB"/>
              </w:rPr>
            </w:pPr>
            <w:r>
              <w:rPr>
                <w:sz w:val="18"/>
                <w:szCs w:val="18"/>
                <w:lang w:val="en-GB"/>
              </w:rPr>
              <w:t>11.1</w:t>
            </w:r>
          </w:p>
        </w:tc>
        <w:tc>
          <w:tcPr>
            <w:tcW w:w="766" w:type="dxa"/>
            <w:tcBorders>
              <w:bottom w:val="single" w:sz="4" w:space="0" w:color="auto"/>
            </w:tcBorders>
          </w:tcPr>
          <w:p w:rsidR="00000000" w:rsidRDefault="00000000">
            <w:pPr>
              <w:rPr>
                <w:sz w:val="18"/>
                <w:szCs w:val="18"/>
                <w:lang w:val="en-GB"/>
              </w:rPr>
            </w:pPr>
            <w:r>
              <w:rPr>
                <w:sz w:val="18"/>
                <w:szCs w:val="18"/>
                <w:lang w:val="en-GB"/>
              </w:rPr>
              <w:t>11.6</w:t>
            </w:r>
          </w:p>
        </w:tc>
        <w:tc>
          <w:tcPr>
            <w:tcW w:w="735" w:type="dxa"/>
            <w:tcBorders>
              <w:bottom w:val="single" w:sz="4" w:space="0" w:color="auto"/>
            </w:tcBorders>
          </w:tcPr>
          <w:p w:rsidR="00000000" w:rsidRDefault="00000000">
            <w:pPr>
              <w:rPr>
                <w:sz w:val="18"/>
                <w:szCs w:val="18"/>
                <w:lang w:val="en-GB"/>
              </w:rPr>
            </w:pPr>
            <w:r>
              <w:rPr>
                <w:sz w:val="18"/>
                <w:szCs w:val="18"/>
                <w:lang w:val="en-GB"/>
              </w:rPr>
              <w:t>9.9</w:t>
            </w:r>
          </w:p>
        </w:tc>
        <w:tc>
          <w:tcPr>
            <w:tcW w:w="735" w:type="dxa"/>
            <w:tcBorders>
              <w:bottom w:val="single" w:sz="4" w:space="0" w:color="auto"/>
            </w:tcBorders>
          </w:tcPr>
          <w:p w:rsidR="00000000" w:rsidRDefault="00000000">
            <w:pPr>
              <w:rPr>
                <w:sz w:val="18"/>
                <w:szCs w:val="18"/>
                <w:lang w:val="en-GB"/>
              </w:rPr>
            </w:pPr>
            <w:r>
              <w:rPr>
                <w:sz w:val="18"/>
                <w:szCs w:val="18"/>
                <w:lang w:val="en-GB"/>
              </w:rPr>
              <w:t>10.2</w:t>
            </w:r>
          </w:p>
        </w:tc>
        <w:tc>
          <w:tcPr>
            <w:tcW w:w="748" w:type="dxa"/>
            <w:tcBorders>
              <w:bottom w:val="single" w:sz="4" w:space="0" w:color="auto"/>
            </w:tcBorders>
          </w:tcPr>
          <w:p w:rsidR="00000000" w:rsidRDefault="00000000">
            <w:pPr>
              <w:rPr>
                <w:sz w:val="18"/>
                <w:szCs w:val="18"/>
                <w:lang w:val="en-GB"/>
              </w:rPr>
            </w:pPr>
            <w:r>
              <w:rPr>
                <w:sz w:val="18"/>
                <w:szCs w:val="18"/>
                <w:lang w:val="en-GB"/>
              </w:rPr>
              <w:t>8.9</w:t>
            </w:r>
          </w:p>
        </w:tc>
        <w:tc>
          <w:tcPr>
            <w:tcW w:w="735" w:type="dxa"/>
            <w:tcBorders>
              <w:bottom w:val="single" w:sz="4" w:space="0" w:color="auto"/>
            </w:tcBorders>
          </w:tcPr>
          <w:p w:rsidR="00000000" w:rsidRDefault="00000000">
            <w:pPr>
              <w:rPr>
                <w:sz w:val="18"/>
                <w:szCs w:val="18"/>
                <w:lang w:val="en-GB"/>
              </w:rPr>
            </w:pPr>
            <w:r>
              <w:rPr>
                <w:sz w:val="18"/>
                <w:szCs w:val="18"/>
                <w:lang w:val="en-GB"/>
              </w:rPr>
              <w:t>8.0</w:t>
            </w:r>
          </w:p>
        </w:tc>
        <w:tc>
          <w:tcPr>
            <w:tcW w:w="735" w:type="dxa"/>
            <w:tcBorders>
              <w:bottom w:val="single" w:sz="4" w:space="0" w:color="auto"/>
            </w:tcBorders>
          </w:tcPr>
          <w:p w:rsidR="00000000" w:rsidRDefault="00000000">
            <w:pPr>
              <w:rPr>
                <w:sz w:val="18"/>
                <w:szCs w:val="18"/>
                <w:lang w:val="en-GB"/>
              </w:rPr>
            </w:pPr>
            <w:r>
              <w:rPr>
                <w:sz w:val="18"/>
                <w:szCs w:val="18"/>
                <w:lang w:val="en-GB"/>
              </w:rPr>
              <w:t>8.2</w:t>
            </w:r>
          </w:p>
        </w:tc>
        <w:tc>
          <w:tcPr>
            <w:tcW w:w="747" w:type="dxa"/>
            <w:tcBorders>
              <w:bottom w:val="single" w:sz="4" w:space="0" w:color="auto"/>
            </w:tcBorders>
          </w:tcPr>
          <w:p w:rsidR="00000000" w:rsidRDefault="00000000">
            <w:pPr>
              <w:rPr>
                <w:sz w:val="18"/>
                <w:szCs w:val="18"/>
                <w:lang w:val="en-GB"/>
              </w:rPr>
            </w:pPr>
            <w:r>
              <w:rPr>
                <w:sz w:val="18"/>
                <w:szCs w:val="18"/>
                <w:lang w:val="en-GB"/>
              </w:rPr>
              <w:t>8.2</w:t>
            </w:r>
          </w:p>
        </w:tc>
      </w:tr>
    </w:tbl>
    <w:p w:rsidR="00000000" w:rsidRDefault="00000000">
      <w:pPr>
        <w:spacing w:before="120" w:after="240"/>
        <w:rPr>
          <w:rFonts w:eastAsia="KaiTi_GB2312"/>
          <w:spacing w:val="0"/>
        </w:rPr>
      </w:pPr>
      <w:r>
        <w:rPr>
          <w:rFonts w:eastAsia="KaiTi_GB2312" w:hint="eastAsia"/>
          <w:spacing w:val="0"/>
        </w:rPr>
        <w:t>资料来源：国家统计局的资料。</w:t>
      </w:r>
    </w:p>
    <w:p w:rsidR="00000000" w:rsidRDefault="00000000">
      <w:r>
        <w:rPr>
          <w:rFonts w:hint="eastAsia"/>
        </w:rPr>
        <w:tab/>
        <w:t xml:space="preserve">366.  </w:t>
      </w:r>
      <w:r>
        <w:rPr>
          <w:rFonts w:hint="eastAsia"/>
        </w:rPr>
        <w:t>克罗地亚的产妇死亡率多年来一直很低，亦成偶然发生的事件，</w:t>
      </w:r>
      <w:r>
        <w:rPr>
          <w:rFonts w:hint="eastAsia"/>
        </w:rPr>
        <w:t>1990</w:t>
      </w:r>
      <w:r>
        <w:rPr>
          <w:rFonts w:hint="eastAsia"/>
        </w:rPr>
        <w:t>年有</w:t>
      </w:r>
      <w:r>
        <w:rPr>
          <w:rFonts w:hint="eastAsia"/>
        </w:rPr>
        <w:t>6</w:t>
      </w:r>
      <w:r>
        <w:rPr>
          <w:rFonts w:hint="eastAsia"/>
        </w:rPr>
        <w:t>例，占每</w:t>
      </w:r>
      <w:r>
        <w:rPr>
          <w:rFonts w:hint="eastAsia"/>
        </w:rPr>
        <w:t>100,000</w:t>
      </w:r>
      <w:r>
        <w:rPr>
          <w:rFonts w:hint="eastAsia"/>
        </w:rPr>
        <w:t>名活产婴儿的</w:t>
      </w:r>
      <w:r>
        <w:rPr>
          <w:rFonts w:hint="eastAsia"/>
        </w:rPr>
        <w:t>10.8</w:t>
      </w:r>
      <w:r>
        <w:rPr>
          <w:rFonts w:hint="eastAsia"/>
        </w:rPr>
        <w:t>；</w:t>
      </w:r>
      <w:r>
        <w:rPr>
          <w:rFonts w:hint="eastAsia"/>
        </w:rPr>
        <w:t>1991</w:t>
      </w:r>
      <w:r>
        <w:rPr>
          <w:rFonts w:hint="eastAsia"/>
        </w:rPr>
        <w:t>年有</w:t>
      </w:r>
      <w:r>
        <w:rPr>
          <w:rFonts w:hint="eastAsia"/>
        </w:rPr>
        <w:t>4</w:t>
      </w:r>
      <w:r>
        <w:rPr>
          <w:rFonts w:hint="eastAsia"/>
        </w:rPr>
        <w:t>例，占</w:t>
      </w:r>
      <w:r>
        <w:rPr>
          <w:rFonts w:hint="eastAsia"/>
        </w:rPr>
        <w:t>100,000</w:t>
      </w:r>
      <w:r>
        <w:rPr>
          <w:rFonts w:hint="eastAsia"/>
        </w:rPr>
        <w:t>名活产婴儿的</w:t>
      </w:r>
      <w:r>
        <w:rPr>
          <w:rFonts w:hint="eastAsia"/>
        </w:rPr>
        <w:t>7.7</w:t>
      </w:r>
      <w:r>
        <w:rPr>
          <w:rFonts w:hint="eastAsia"/>
        </w:rPr>
        <w:t>；</w:t>
      </w:r>
      <w:r>
        <w:rPr>
          <w:rFonts w:hint="eastAsia"/>
        </w:rPr>
        <w:t>1992</w:t>
      </w:r>
      <w:r>
        <w:rPr>
          <w:rFonts w:hint="eastAsia"/>
        </w:rPr>
        <w:t>年有</w:t>
      </w:r>
      <w:r>
        <w:rPr>
          <w:rFonts w:hint="eastAsia"/>
        </w:rPr>
        <w:t>2</w:t>
      </w:r>
      <w:r>
        <w:rPr>
          <w:rFonts w:hint="eastAsia"/>
        </w:rPr>
        <w:t>例，占</w:t>
      </w:r>
      <w:r>
        <w:rPr>
          <w:rFonts w:hint="eastAsia"/>
        </w:rPr>
        <w:t>4.2/100,000</w:t>
      </w:r>
      <w:r>
        <w:rPr>
          <w:rFonts w:hint="eastAsia"/>
        </w:rPr>
        <w:t>；</w:t>
      </w:r>
      <w:r>
        <w:rPr>
          <w:rFonts w:hint="eastAsia"/>
        </w:rPr>
        <w:t>1993</w:t>
      </w:r>
      <w:r>
        <w:rPr>
          <w:rFonts w:hint="eastAsia"/>
        </w:rPr>
        <w:t>年和</w:t>
      </w:r>
      <w:r>
        <w:rPr>
          <w:rFonts w:hint="eastAsia"/>
        </w:rPr>
        <w:t>1994</w:t>
      </w:r>
      <w:r>
        <w:rPr>
          <w:rFonts w:hint="eastAsia"/>
        </w:rPr>
        <w:t>年有</w:t>
      </w:r>
      <w:r>
        <w:rPr>
          <w:rFonts w:hint="eastAsia"/>
        </w:rPr>
        <w:t>5</w:t>
      </w:r>
      <w:r>
        <w:rPr>
          <w:rFonts w:hint="eastAsia"/>
        </w:rPr>
        <w:t>例，占</w:t>
      </w:r>
      <w:r>
        <w:rPr>
          <w:rFonts w:hint="eastAsia"/>
        </w:rPr>
        <w:t>10.3/100,000</w:t>
      </w:r>
      <w:r>
        <w:rPr>
          <w:rFonts w:hint="eastAsia"/>
        </w:rPr>
        <w:t>；</w:t>
      </w:r>
      <w:r>
        <w:rPr>
          <w:rFonts w:hint="eastAsia"/>
        </w:rPr>
        <w:t>1995</w:t>
      </w:r>
      <w:r>
        <w:rPr>
          <w:rFonts w:hint="eastAsia"/>
        </w:rPr>
        <w:t>年有</w:t>
      </w:r>
      <w:r>
        <w:rPr>
          <w:rFonts w:hint="eastAsia"/>
        </w:rPr>
        <w:t>6</w:t>
      </w:r>
      <w:r>
        <w:rPr>
          <w:rFonts w:hint="eastAsia"/>
        </w:rPr>
        <w:t>例，占</w:t>
      </w:r>
      <w:r>
        <w:rPr>
          <w:rFonts w:hint="eastAsia"/>
        </w:rPr>
        <w:t>100,000</w:t>
      </w:r>
      <w:r>
        <w:rPr>
          <w:rFonts w:hint="eastAsia"/>
        </w:rPr>
        <w:t>名活产婴儿的</w:t>
      </w:r>
      <w:r>
        <w:rPr>
          <w:rFonts w:hint="eastAsia"/>
        </w:rPr>
        <w:t>11.95</w:t>
      </w:r>
      <w:r>
        <w:rPr>
          <w:rFonts w:hint="eastAsia"/>
        </w:rPr>
        <w:t>；</w:t>
      </w:r>
      <w:r>
        <w:rPr>
          <w:rFonts w:hint="eastAsia"/>
        </w:rPr>
        <w:t>1996</w:t>
      </w:r>
      <w:r>
        <w:rPr>
          <w:rFonts w:hint="eastAsia"/>
        </w:rPr>
        <w:t>年有</w:t>
      </w:r>
      <w:r>
        <w:rPr>
          <w:rFonts w:hint="eastAsia"/>
        </w:rPr>
        <w:t>1</w:t>
      </w:r>
      <w:r>
        <w:rPr>
          <w:rFonts w:hint="eastAsia"/>
        </w:rPr>
        <w:t>例，占</w:t>
      </w:r>
      <w:r>
        <w:rPr>
          <w:rFonts w:hint="eastAsia"/>
        </w:rPr>
        <w:t>1.86/100,000</w:t>
      </w:r>
      <w:r>
        <w:rPr>
          <w:rFonts w:hint="eastAsia"/>
        </w:rPr>
        <w:t>；</w:t>
      </w:r>
      <w:r>
        <w:rPr>
          <w:rFonts w:hint="eastAsia"/>
        </w:rPr>
        <w:t>1997</w:t>
      </w:r>
      <w:r>
        <w:rPr>
          <w:rFonts w:hint="eastAsia"/>
        </w:rPr>
        <w:t>年有</w:t>
      </w:r>
      <w:r>
        <w:rPr>
          <w:rFonts w:hint="eastAsia"/>
        </w:rPr>
        <w:t>6</w:t>
      </w:r>
      <w:r>
        <w:rPr>
          <w:rFonts w:hint="eastAsia"/>
        </w:rPr>
        <w:t>例，占</w:t>
      </w:r>
      <w:r>
        <w:rPr>
          <w:rFonts w:hint="eastAsia"/>
        </w:rPr>
        <w:t>100,000</w:t>
      </w:r>
      <w:r>
        <w:rPr>
          <w:rFonts w:hint="eastAsia"/>
        </w:rPr>
        <w:t>名活产婴儿的</w:t>
      </w:r>
      <w:r>
        <w:rPr>
          <w:rFonts w:hint="eastAsia"/>
        </w:rPr>
        <w:t>10.81, 1998</w:t>
      </w:r>
      <w:r>
        <w:rPr>
          <w:rFonts w:hint="eastAsia"/>
        </w:rPr>
        <w:t>年有</w:t>
      </w:r>
      <w:r>
        <w:rPr>
          <w:rFonts w:hint="eastAsia"/>
        </w:rPr>
        <w:t>3</w:t>
      </w:r>
      <w:r>
        <w:rPr>
          <w:rFonts w:hint="eastAsia"/>
        </w:rPr>
        <w:t>例，占</w:t>
      </w:r>
      <w:r>
        <w:rPr>
          <w:rFonts w:hint="eastAsia"/>
        </w:rPr>
        <w:t>100,000</w:t>
      </w:r>
      <w:r>
        <w:rPr>
          <w:rFonts w:hint="eastAsia"/>
        </w:rPr>
        <w:t>名活产婴儿的</w:t>
      </w:r>
      <w:r>
        <w:rPr>
          <w:rFonts w:hint="eastAsia"/>
        </w:rPr>
        <w:t>6.37</w:t>
      </w:r>
      <w:r>
        <w:rPr>
          <w:rFonts w:hint="eastAsia"/>
        </w:rPr>
        <w:t>。死亡全部是在分娩后发生的，最常见的原因是子痫、生育休克和出血。</w:t>
      </w:r>
    </w:p>
    <w:p w:rsidR="00000000" w:rsidRDefault="00000000">
      <w:pPr>
        <w:spacing w:after="240"/>
      </w:pPr>
      <w:r>
        <w:rPr>
          <w:rFonts w:hint="eastAsia"/>
        </w:rPr>
        <w:tab/>
        <w:t xml:space="preserve">367.  </w:t>
      </w:r>
      <w:r>
        <w:rPr>
          <w:rFonts w:hint="eastAsia"/>
        </w:rPr>
        <w:t>围产期保护的一个最重要的标志是围产期死亡率，它在战争年的短期上升，之后便出现长期下降的趋势</w:t>
      </w:r>
      <w:r>
        <w:rPr>
          <w:rFonts w:hint="eastAsia"/>
        </w:rPr>
        <w:t>(</w:t>
      </w:r>
      <w:r>
        <w:rPr>
          <w:rFonts w:hint="eastAsia"/>
        </w:rPr>
        <w:t>表</w:t>
      </w:r>
      <w:r>
        <w:rPr>
          <w:rFonts w:hint="eastAsia"/>
        </w:rPr>
        <w:t>7)</w:t>
      </w:r>
      <w:r>
        <w:rPr>
          <w:rFonts w:hint="eastAsia"/>
        </w:rPr>
        <w:t>。至于婴儿死亡率，各郡之间的差别以及各郡内的波动情况明显可见</w:t>
      </w:r>
      <w:r>
        <w:rPr>
          <w:rFonts w:hint="eastAsia"/>
        </w:rPr>
        <w:t>(</w:t>
      </w:r>
      <w:r>
        <w:rPr>
          <w:rFonts w:hint="eastAsia"/>
        </w:rPr>
        <w:t>表</w:t>
      </w:r>
      <w:r>
        <w:rPr>
          <w:rFonts w:hint="eastAsia"/>
        </w:rPr>
        <w:t>8)</w:t>
      </w:r>
      <w:r>
        <w:rPr>
          <w:rFonts w:hint="eastAsia"/>
        </w:rPr>
        <w:t>。为了减少区域间存在的差异，在克罗地亚被称为“</w:t>
      </w:r>
      <w:r>
        <w:rPr>
          <w:rFonts w:hint="eastAsia"/>
        </w:rPr>
        <w:t>2005</w:t>
      </w:r>
      <w:r>
        <w:rPr>
          <w:rFonts w:hint="eastAsia"/>
        </w:rPr>
        <w:t>年前促进人人健康”的战略重点中列入了促进围产期保健。在各郡分别实行围产期死亡问题的教育的同时，根据产科医院的人员和技术能力级别组织围产期保健。在第一级产科医院，约</w:t>
      </w:r>
      <w:r>
        <w:rPr>
          <w:rFonts w:hint="eastAsia"/>
        </w:rPr>
        <w:t>1,000</w:t>
      </w:r>
      <w:r>
        <w:rPr>
          <w:rFonts w:hint="eastAsia"/>
        </w:rPr>
        <w:t>例分娩中主要是健康母亲的健康儿童；在第二级产科医院中，早产的比例较大，也接受有孕期轻微并发症的母亲。第三级产科医院也是教学医院。它们具有井然有条的麻醉、产科和新生儿科，具备有适当的重病特别护理和理疗组，即使是情况最危险的婴儿也能分娩和予以接纳。</w:t>
      </w:r>
    </w:p>
    <w:p w:rsidR="00000000" w:rsidRDefault="00000000">
      <w:pPr>
        <w:spacing w:after="160" w:line="240" w:lineRule="auto"/>
        <w:jc w:val="center"/>
        <w:rPr>
          <w:rFonts w:hint="eastAsia"/>
          <w:u w:val="single"/>
        </w:rPr>
      </w:pPr>
      <w:r>
        <w:rPr>
          <w:rFonts w:hint="eastAsia"/>
          <w:u w:val="single"/>
        </w:rPr>
        <w:t>表</w:t>
      </w:r>
      <w:r>
        <w:rPr>
          <w:rFonts w:hint="eastAsia"/>
          <w:u w:val="single"/>
        </w:rPr>
        <w:t>7.  1981-1998</w:t>
      </w:r>
      <w:r>
        <w:rPr>
          <w:rFonts w:hint="eastAsia"/>
          <w:u w:val="single"/>
        </w:rPr>
        <w:t>年克罗地亚围产期死亡率各部分</w:t>
      </w:r>
    </w:p>
    <w:tbl>
      <w:tblPr>
        <w:tblW w:w="0" w:type="auto"/>
        <w:tblLook w:val="0000" w:firstRow="0" w:lastRow="0" w:firstColumn="0" w:lastColumn="0" w:noHBand="0" w:noVBand="0"/>
      </w:tblPr>
      <w:tblGrid>
        <w:gridCol w:w="1067"/>
        <w:gridCol w:w="1666"/>
        <w:gridCol w:w="1367"/>
        <w:gridCol w:w="1047"/>
        <w:gridCol w:w="1687"/>
        <w:gridCol w:w="1193"/>
        <w:gridCol w:w="1543"/>
      </w:tblGrid>
      <w:tr w:rsidR="00000000">
        <w:tblPrEx>
          <w:tblCellMar>
            <w:top w:w="0" w:type="dxa"/>
            <w:bottom w:w="0" w:type="dxa"/>
          </w:tblCellMar>
        </w:tblPrEx>
        <w:tc>
          <w:tcPr>
            <w:tcW w:w="1067" w:type="dxa"/>
            <w:tcBorders>
              <w:top w:val="single" w:sz="4" w:space="0" w:color="auto"/>
              <w:bottom w:val="single" w:sz="4" w:space="0" w:color="auto"/>
            </w:tcBorders>
          </w:tcPr>
          <w:p w:rsidR="00000000" w:rsidRDefault="00000000">
            <w:pPr>
              <w:spacing w:before="360" w:line="240" w:lineRule="auto"/>
              <w:jc w:val="center"/>
              <w:rPr>
                <w:rFonts w:hint="eastAsia"/>
                <w:sz w:val="20"/>
              </w:rPr>
            </w:pPr>
            <w:r>
              <w:rPr>
                <w:rFonts w:hint="eastAsia"/>
                <w:sz w:val="20"/>
              </w:rPr>
              <w:t>年</w:t>
            </w:r>
            <w:r>
              <w:rPr>
                <w:rFonts w:hint="eastAsia"/>
                <w:sz w:val="20"/>
              </w:rPr>
              <w:t xml:space="preserve">  </w:t>
            </w:r>
            <w:r>
              <w:rPr>
                <w:rFonts w:hint="eastAsia"/>
                <w:sz w:val="20"/>
              </w:rPr>
              <w:t>份</w:t>
            </w:r>
          </w:p>
        </w:tc>
        <w:tc>
          <w:tcPr>
            <w:tcW w:w="1666" w:type="dxa"/>
            <w:tcBorders>
              <w:top w:val="single" w:sz="4" w:space="0" w:color="auto"/>
              <w:bottom w:val="single" w:sz="4" w:space="0" w:color="auto"/>
            </w:tcBorders>
          </w:tcPr>
          <w:p w:rsidR="00000000" w:rsidRDefault="00000000">
            <w:pPr>
              <w:spacing w:before="120" w:line="240" w:lineRule="auto"/>
              <w:jc w:val="center"/>
              <w:rPr>
                <w:rFonts w:hint="eastAsia"/>
                <w:sz w:val="20"/>
              </w:rPr>
            </w:pPr>
            <w:r>
              <w:rPr>
                <w:rFonts w:hint="eastAsia"/>
                <w:sz w:val="20"/>
              </w:rPr>
              <w:t>死产和</w:t>
            </w:r>
            <w:r>
              <w:rPr>
                <w:rFonts w:hint="eastAsia"/>
                <w:sz w:val="20"/>
              </w:rPr>
              <w:t>0-6</w:t>
            </w:r>
            <w:r>
              <w:rPr>
                <w:rFonts w:hint="eastAsia"/>
                <w:sz w:val="20"/>
              </w:rPr>
              <w:t>天死</w:t>
            </w:r>
            <w:r>
              <w:rPr>
                <w:rFonts w:hint="eastAsia"/>
                <w:sz w:val="20"/>
              </w:rPr>
              <w:t xml:space="preserve"> </w:t>
            </w:r>
            <w:r>
              <w:rPr>
                <w:rFonts w:hint="eastAsia"/>
                <w:sz w:val="20"/>
              </w:rPr>
              <w:t>亡</w:t>
            </w:r>
          </w:p>
        </w:tc>
        <w:tc>
          <w:tcPr>
            <w:tcW w:w="1367" w:type="dxa"/>
            <w:tcBorders>
              <w:top w:val="single" w:sz="4" w:space="0" w:color="auto"/>
              <w:bottom w:val="single" w:sz="4" w:space="0" w:color="auto"/>
            </w:tcBorders>
          </w:tcPr>
          <w:p w:rsidR="00000000" w:rsidRDefault="00000000">
            <w:pPr>
              <w:spacing w:before="360" w:line="240" w:lineRule="auto"/>
              <w:jc w:val="center"/>
              <w:rPr>
                <w:rFonts w:hint="eastAsia"/>
                <w:sz w:val="20"/>
              </w:rPr>
            </w:pPr>
            <w:r>
              <w:rPr>
                <w:rFonts w:hint="eastAsia"/>
                <w:sz w:val="20"/>
              </w:rPr>
              <w:t>出生前死亡</w:t>
            </w:r>
          </w:p>
        </w:tc>
        <w:tc>
          <w:tcPr>
            <w:tcW w:w="1047" w:type="dxa"/>
            <w:tcBorders>
              <w:top w:val="single" w:sz="4" w:space="0" w:color="auto"/>
              <w:bottom w:val="single" w:sz="4" w:space="0" w:color="auto"/>
            </w:tcBorders>
          </w:tcPr>
          <w:p w:rsidR="00000000" w:rsidRDefault="00000000">
            <w:pPr>
              <w:spacing w:before="360" w:line="240" w:lineRule="auto"/>
              <w:jc w:val="center"/>
              <w:rPr>
                <w:rFonts w:hint="eastAsia"/>
                <w:sz w:val="20"/>
              </w:rPr>
            </w:pPr>
            <w:r>
              <w:rPr>
                <w:rFonts w:hint="eastAsia"/>
                <w:sz w:val="20"/>
              </w:rPr>
              <w:t>死</w:t>
            </w:r>
            <w:r>
              <w:rPr>
                <w:rFonts w:hint="eastAsia"/>
                <w:sz w:val="20"/>
              </w:rPr>
              <w:t xml:space="preserve">  </w:t>
            </w:r>
            <w:r>
              <w:rPr>
                <w:rFonts w:hint="eastAsia"/>
                <w:sz w:val="20"/>
              </w:rPr>
              <w:t>产</w:t>
            </w:r>
          </w:p>
        </w:tc>
        <w:tc>
          <w:tcPr>
            <w:tcW w:w="1687" w:type="dxa"/>
            <w:tcBorders>
              <w:top w:val="single" w:sz="4" w:space="0" w:color="auto"/>
              <w:bottom w:val="single" w:sz="4" w:space="0" w:color="auto"/>
            </w:tcBorders>
          </w:tcPr>
          <w:p w:rsidR="00000000" w:rsidRDefault="00000000">
            <w:pPr>
              <w:spacing w:before="120" w:line="240" w:lineRule="auto"/>
              <w:jc w:val="center"/>
              <w:rPr>
                <w:rFonts w:hint="eastAsia"/>
                <w:sz w:val="20"/>
              </w:rPr>
            </w:pPr>
            <w:r>
              <w:rPr>
                <w:rFonts w:hint="eastAsia"/>
                <w:sz w:val="20"/>
              </w:rPr>
              <w:t>每</w:t>
            </w:r>
            <w:r>
              <w:rPr>
                <w:rFonts w:hint="eastAsia"/>
                <w:sz w:val="20"/>
              </w:rPr>
              <w:t>1,000</w:t>
            </w:r>
            <w:r>
              <w:rPr>
                <w:rFonts w:hint="eastAsia"/>
                <w:sz w:val="20"/>
              </w:rPr>
              <w:t>例新生儿的死产率</w:t>
            </w:r>
          </w:p>
        </w:tc>
        <w:tc>
          <w:tcPr>
            <w:tcW w:w="1193" w:type="dxa"/>
            <w:tcBorders>
              <w:top w:val="single" w:sz="4" w:space="0" w:color="auto"/>
              <w:bottom w:val="single" w:sz="4" w:space="0" w:color="auto"/>
            </w:tcBorders>
          </w:tcPr>
          <w:p w:rsidR="00000000" w:rsidRDefault="00000000">
            <w:pPr>
              <w:spacing w:before="120" w:line="240" w:lineRule="auto"/>
              <w:jc w:val="center"/>
              <w:rPr>
                <w:rFonts w:hint="eastAsia"/>
                <w:sz w:val="20"/>
              </w:rPr>
            </w:pPr>
            <w:r>
              <w:rPr>
                <w:rFonts w:hint="eastAsia"/>
                <w:sz w:val="20"/>
              </w:rPr>
              <w:t>0-6</w:t>
            </w:r>
            <w:r>
              <w:rPr>
                <w:rFonts w:hint="eastAsia"/>
                <w:sz w:val="20"/>
              </w:rPr>
              <w:t>天</w:t>
            </w:r>
            <w:r>
              <w:rPr>
                <w:sz w:val="20"/>
              </w:rPr>
              <w:br/>
            </w:r>
            <w:r>
              <w:rPr>
                <w:rFonts w:hint="eastAsia"/>
                <w:sz w:val="20"/>
              </w:rPr>
              <w:t>期间死亡</w:t>
            </w:r>
          </w:p>
        </w:tc>
        <w:tc>
          <w:tcPr>
            <w:tcW w:w="1543" w:type="dxa"/>
            <w:tcBorders>
              <w:top w:val="single" w:sz="4" w:space="0" w:color="auto"/>
              <w:bottom w:val="single" w:sz="4" w:space="0" w:color="auto"/>
            </w:tcBorders>
          </w:tcPr>
          <w:p w:rsidR="00000000" w:rsidRDefault="00000000">
            <w:pPr>
              <w:spacing w:before="360" w:line="240" w:lineRule="auto"/>
              <w:jc w:val="center"/>
              <w:rPr>
                <w:rFonts w:hint="eastAsia"/>
                <w:sz w:val="20"/>
              </w:rPr>
            </w:pPr>
            <w:r>
              <w:rPr>
                <w:rFonts w:hint="eastAsia"/>
                <w:sz w:val="20"/>
              </w:rPr>
              <w:t>新生儿夭折率</w:t>
            </w:r>
          </w:p>
        </w:tc>
      </w:tr>
      <w:tr w:rsidR="00000000">
        <w:tblPrEx>
          <w:tblCellMar>
            <w:top w:w="0" w:type="dxa"/>
            <w:bottom w:w="0" w:type="dxa"/>
          </w:tblCellMar>
        </w:tblPrEx>
        <w:tc>
          <w:tcPr>
            <w:tcW w:w="1067" w:type="dxa"/>
            <w:tcBorders>
              <w:top w:val="single" w:sz="4" w:space="0" w:color="auto"/>
            </w:tcBorders>
          </w:tcPr>
          <w:p w:rsidR="00000000" w:rsidRDefault="00000000">
            <w:pPr>
              <w:spacing w:before="60" w:line="240" w:lineRule="auto"/>
              <w:jc w:val="center"/>
              <w:rPr>
                <w:rFonts w:hint="eastAsia"/>
                <w:sz w:val="20"/>
              </w:rPr>
            </w:pPr>
            <w:r>
              <w:rPr>
                <w:rFonts w:hint="eastAsia"/>
                <w:sz w:val="20"/>
              </w:rPr>
              <w:t>1981</w:t>
            </w:r>
          </w:p>
        </w:tc>
        <w:tc>
          <w:tcPr>
            <w:tcW w:w="1666" w:type="dxa"/>
            <w:tcBorders>
              <w:top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fldChar w:fldCharType="begin"/>
            </w:r>
            <w:r>
              <w:rPr>
                <w:sz w:val="20"/>
                <w:lang w:val="en-GB"/>
              </w:rPr>
              <w:instrText>ADVANCE \d2</w:instrText>
            </w:r>
            <w:r>
              <w:rPr>
                <w:sz w:val="20"/>
                <w:lang w:val="en-GB"/>
              </w:rPr>
              <w:fldChar w:fldCharType="end"/>
            </w:r>
            <w:r>
              <w:rPr>
                <w:sz w:val="20"/>
                <w:lang w:val="en-GB"/>
              </w:rPr>
              <w:t>1,098</w:t>
            </w:r>
          </w:p>
        </w:tc>
        <w:tc>
          <w:tcPr>
            <w:tcW w:w="1367" w:type="dxa"/>
            <w:tcBorders>
              <w:top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fldChar w:fldCharType="begin"/>
            </w:r>
            <w:r>
              <w:rPr>
                <w:sz w:val="20"/>
                <w:lang w:val="en-GB"/>
              </w:rPr>
              <w:instrText>ADVANCE \d2</w:instrText>
            </w:r>
            <w:r>
              <w:rPr>
                <w:sz w:val="20"/>
                <w:lang w:val="en-GB"/>
              </w:rPr>
              <w:fldChar w:fldCharType="end"/>
            </w:r>
            <w:r>
              <w:rPr>
                <w:sz w:val="20"/>
                <w:lang w:val="en-GB"/>
              </w:rPr>
              <w:t>16.2</w:t>
            </w:r>
          </w:p>
        </w:tc>
        <w:tc>
          <w:tcPr>
            <w:tcW w:w="1047" w:type="dxa"/>
            <w:tcBorders>
              <w:top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fldChar w:fldCharType="begin"/>
            </w:r>
            <w:r>
              <w:rPr>
                <w:sz w:val="20"/>
                <w:lang w:val="en-GB"/>
              </w:rPr>
              <w:instrText>ADVANCE \d2</w:instrText>
            </w:r>
            <w:r>
              <w:rPr>
                <w:sz w:val="20"/>
                <w:lang w:val="en-GB"/>
              </w:rPr>
              <w:fldChar w:fldCharType="end"/>
            </w:r>
            <w:r>
              <w:rPr>
                <w:sz w:val="20"/>
                <w:lang w:val="en-GB"/>
              </w:rPr>
              <w:t>371</w:t>
            </w:r>
          </w:p>
        </w:tc>
        <w:tc>
          <w:tcPr>
            <w:tcW w:w="1687" w:type="dxa"/>
            <w:tcBorders>
              <w:top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fldChar w:fldCharType="begin"/>
            </w:r>
            <w:r>
              <w:rPr>
                <w:sz w:val="20"/>
                <w:lang w:val="en-GB"/>
              </w:rPr>
              <w:instrText>ADVANCE \d2</w:instrText>
            </w:r>
            <w:r>
              <w:rPr>
                <w:sz w:val="20"/>
                <w:lang w:val="en-GB"/>
              </w:rPr>
              <w:fldChar w:fldCharType="end"/>
            </w:r>
            <w:r>
              <w:rPr>
                <w:sz w:val="20"/>
                <w:lang w:val="en-GB"/>
              </w:rPr>
              <w:t>5.5</w:t>
            </w:r>
          </w:p>
        </w:tc>
        <w:tc>
          <w:tcPr>
            <w:tcW w:w="1193" w:type="dxa"/>
            <w:tcBorders>
              <w:top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fldChar w:fldCharType="begin"/>
            </w:r>
            <w:r>
              <w:rPr>
                <w:sz w:val="20"/>
                <w:lang w:val="en-GB"/>
              </w:rPr>
              <w:instrText>ADVANCE \d2</w:instrText>
            </w:r>
            <w:r>
              <w:rPr>
                <w:sz w:val="20"/>
                <w:lang w:val="en-GB"/>
              </w:rPr>
              <w:fldChar w:fldCharType="end"/>
            </w:r>
            <w:r>
              <w:rPr>
                <w:sz w:val="20"/>
                <w:lang w:val="en-GB"/>
              </w:rPr>
              <w:t>727</w:t>
            </w:r>
          </w:p>
        </w:tc>
        <w:tc>
          <w:tcPr>
            <w:tcW w:w="1543" w:type="dxa"/>
            <w:tcBorders>
              <w:top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fldChar w:fldCharType="begin"/>
            </w:r>
            <w:r>
              <w:rPr>
                <w:sz w:val="20"/>
                <w:lang w:val="en-GB"/>
              </w:rPr>
              <w:instrText>ADVANCE \d2</w:instrText>
            </w:r>
            <w:r>
              <w:rPr>
                <w:sz w:val="20"/>
                <w:lang w:val="en-GB"/>
              </w:rPr>
              <w:fldChar w:fldCharType="end"/>
            </w:r>
            <w:r>
              <w:rPr>
                <w:sz w:val="20"/>
                <w:lang w:val="en-GB"/>
              </w:rPr>
              <w:t>10.8</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1982</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1,129</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16.9</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387</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5.8</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742</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11.1</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1983</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1,092</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16.6</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326</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5.0</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766</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11.7</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1984</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978</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15.0</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296</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4.5</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682</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10.5</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1985</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951</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15.1</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297</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4.7</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654</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10.4</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1986</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874</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14.4</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307</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5.1</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567</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9.4</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1987</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785</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13.2</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293</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4.9</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492</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8.3</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1988</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699</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11.9</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251</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4.3</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448</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7.7</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1989</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609</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10.9</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263</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4.7</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346</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6.2</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1990</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574</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10.3</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246</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4.4</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328</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5.9</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1991</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601</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11.5</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269</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5.2</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332</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6.4</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1992</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580</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12.3</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261</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5.5</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319</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6.8</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1993</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482</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9.9</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199</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4.1</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283</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5.8</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1994</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474</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9.7</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221</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4.5</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253</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5.2</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1995</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462</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9.2</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215</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4.3</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247</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4.9</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1996</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469</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8.7</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235</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4.4</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234</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4.3</w:t>
            </w:r>
          </w:p>
        </w:tc>
      </w:tr>
      <w:tr w:rsidR="00000000">
        <w:tblPrEx>
          <w:tblCellMar>
            <w:top w:w="0" w:type="dxa"/>
            <w:bottom w:w="0" w:type="dxa"/>
          </w:tblCellMar>
        </w:tblPrEx>
        <w:tc>
          <w:tcPr>
            <w:tcW w:w="1067" w:type="dxa"/>
          </w:tcPr>
          <w:p w:rsidR="00000000" w:rsidRDefault="00000000">
            <w:pPr>
              <w:spacing w:line="240" w:lineRule="auto"/>
              <w:jc w:val="center"/>
              <w:rPr>
                <w:rFonts w:hint="eastAsia"/>
                <w:sz w:val="20"/>
              </w:rPr>
            </w:pPr>
            <w:r>
              <w:rPr>
                <w:rFonts w:hint="eastAsia"/>
                <w:sz w:val="20"/>
              </w:rPr>
              <w:t>1997</w:t>
            </w:r>
          </w:p>
        </w:tc>
        <w:tc>
          <w:tcPr>
            <w:tcW w:w="1666"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340"/>
              <w:jc w:val="right"/>
              <w:rPr>
                <w:sz w:val="20"/>
                <w:lang w:val="en-GB"/>
              </w:rPr>
            </w:pPr>
            <w:r>
              <w:rPr>
                <w:sz w:val="20"/>
                <w:lang w:val="en-GB"/>
              </w:rPr>
              <w:t>492</w:t>
            </w:r>
          </w:p>
        </w:tc>
        <w:tc>
          <w:tcPr>
            <w:tcW w:w="136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8.8</w:t>
            </w:r>
          </w:p>
        </w:tc>
        <w:tc>
          <w:tcPr>
            <w:tcW w:w="104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253</w:t>
            </w:r>
          </w:p>
        </w:tc>
        <w:tc>
          <w:tcPr>
            <w:tcW w:w="1687"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4.5</w:t>
            </w:r>
          </w:p>
        </w:tc>
        <w:tc>
          <w:tcPr>
            <w:tcW w:w="119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jc w:val="center"/>
              <w:rPr>
                <w:sz w:val="20"/>
                <w:lang w:val="en-GB"/>
              </w:rPr>
            </w:pPr>
            <w:r>
              <w:rPr>
                <w:sz w:val="20"/>
                <w:lang w:val="en-GB"/>
              </w:rPr>
              <w:t>239</w:t>
            </w:r>
          </w:p>
        </w:tc>
        <w:tc>
          <w:tcPr>
            <w:tcW w:w="1543"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22" w:line="240" w:lineRule="auto"/>
              <w:ind w:right="284"/>
              <w:jc w:val="right"/>
              <w:rPr>
                <w:sz w:val="20"/>
                <w:lang w:val="en-GB"/>
              </w:rPr>
            </w:pPr>
            <w:r>
              <w:rPr>
                <w:sz w:val="20"/>
                <w:lang w:val="en-GB"/>
              </w:rPr>
              <w:t>4.3</w:t>
            </w:r>
          </w:p>
        </w:tc>
      </w:tr>
      <w:tr w:rsidR="00000000">
        <w:tblPrEx>
          <w:tblCellMar>
            <w:top w:w="0" w:type="dxa"/>
            <w:bottom w:w="0" w:type="dxa"/>
          </w:tblCellMar>
        </w:tblPrEx>
        <w:tc>
          <w:tcPr>
            <w:tcW w:w="1067" w:type="dxa"/>
            <w:tcBorders>
              <w:bottom w:val="single" w:sz="4" w:space="0" w:color="auto"/>
            </w:tcBorders>
          </w:tcPr>
          <w:p w:rsidR="00000000" w:rsidRDefault="00000000">
            <w:pPr>
              <w:spacing w:line="240" w:lineRule="auto"/>
              <w:jc w:val="center"/>
              <w:rPr>
                <w:rFonts w:hint="eastAsia"/>
                <w:sz w:val="20"/>
              </w:rPr>
            </w:pPr>
            <w:r>
              <w:rPr>
                <w:rFonts w:hint="eastAsia"/>
                <w:sz w:val="20"/>
              </w:rPr>
              <w:t>1998</w:t>
            </w:r>
          </w:p>
        </w:tc>
        <w:tc>
          <w:tcPr>
            <w:tcW w:w="1666" w:type="dxa"/>
            <w:tcBorders>
              <w:bottom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42" w:line="240" w:lineRule="auto"/>
              <w:ind w:right="340"/>
              <w:jc w:val="right"/>
              <w:rPr>
                <w:sz w:val="20"/>
                <w:lang w:val="en-GB"/>
              </w:rPr>
            </w:pPr>
            <w:r>
              <w:rPr>
                <w:sz w:val="20"/>
                <w:lang w:val="en-GB"/>
              </w:rPr>
              <w:t>420</w:t>
            </w:r>
          </w:p>
        </w:tc>
        <w:tc>
          <w:tcPr>
            <w:tcW w:w="1367" w:type="dxa"/>
            <w:tcBorders>
              <w:bottom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42" w:line="240" w:lineRule="auto"/>
              <w:ind w:right="284"/>
              <w:jc w:val="right"/>
              <w:rPr>
                <w:sz w:val="20"/>
                <w:lang w:val="en-GB"/>
              </w:rPr>
            </w:pPr>
            <w:r>
              <w:rPr>
                <w:sz w:val="20"/>
                <w:lang w:val="en-GB"/>
              </w:rPr>
              <w:t>8.9</w:t>
            </w:r>
          </w:p>
        </w:tc>
        <w:tc>
          <w:tcPr>
            <w:tcW w:w="1047" w:type="dxa"/>
            <w:tcBorders>
              <w:bottom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42" w:line="240" w:lineRule="auto"/>
              <w:jc w:val="center"/>
              <w:rPr>
                <w:sz w:val="20"/>
                <w:lang w:val="en-GB"/>
              </w:rPr>
            </w:pPr>
            <w:r>
              <w:rPr>
                <w:sz w:val="20"/>
                <w:lang w:val="en-GB"/>
              </w:rPr>
              <w:t>225</w:t>
            </w:r>
          </w:p>
        </w:tc>
        <w:tc>
          <w:tcPr>
            <w:tcW w:w="1687" w:type="dxa"/>
            <w:tcBorders>
              <w:bottom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42" w:line="240" w:lineRule="auto"/>
              <w:jc w:val="center"/>
              <w:rPr>
                <w:sz w:val="20"/>
                <w:lang w:val="en-GB"/>
              </w:rPr>
            </w:pPr>
            <w:r>
              <w:rPr>
                <w:sz w:val="20"/>
                <w:lang w:val="en-GB"/>
              </w:rPr>
              <w:t>4.8</w:t>
            </w:r>
          </w:p>
        </w:tc>
        <w:tc>
          <w:tcPr>
            <w:tcW w:w="1193" w:type="dxa"/>
            <w:tcBorders>
              <w:bottom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42" w:line="240" w:lineRule="auto"/>
              <w:jc w:val="center"/>
              <w:rPr>
                <w:sz w:val="20"/>
                <w:lang w:val="en-GB"/>
              </w:rPr>
            </w:pPr>
            <w:r>
              <w:rPr>
                <w:sz w:val="20"/>
                <w:lang w:val="en-GB"/>
              </w:rPr>
              <w:t>195</w:t>
            </w:r>
          </w:p>
        </w:tc>
        <w:tc>
          <w:tcPr>
            <w:tcW w:w="1543" w:type="dxa"/>
            <w:tcBorders>
              <w:bottom w:val="single" w:sz="4" w:space="0" w:color="auto"/>
            </w:tcBorders>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42" w:line="240" w:lineRule="auto"/>
              <w:ind w:right="284"/>
              <w:jc w:val="right"/>
              <w:rPr>
                <w:sz w:val="20"/>
                <w:lang w:val="en-GB"/>
              </w:rPr>
            </w:pPr>
            <w:r>
              <w:rPr>
                <w:sz w:val="20"/>
                <w:lang w:val="en-GB"/>
              </w:rPr>
              <w:t>4.1</w:t>
            </w:r>
          </w:p>
        </w:tc>
      </w:tr>
    </w:tbl>
    <w:p w:rsidR="00000000" w:rsidRDefault="00000000">
      <w:pPr>
        <w:pStyle w:val="FootnoteText"/>
        <w:spacing w:before="240" w:line="240" w:lineRule="auto"/>
      </w:pPr>
      <w:r>
        <w:rPr>
          <w:rFonts w:hint="eastAsia"/>
        </w:rPr>
        <w:t>资料来源：国家统计局的资料</w:t>
      </w:r>
    </w:p>
    <w:p w:rsidR="00000000" w:rsidRDefault="00000000">
      <w:pPr>
        <w:pStyle w:val="Heading3"/>
        <w:spacing w:line="312" w:lineRule="auto"/>
        <w:rPr>
          <w:sz w:val="20"/>
        </w:rPr>
      </w:pPr>
      <w:r>
        <w:rPr>
          <w:rFonts w:hint="eastAsia"/>
          <w:kern w:val="0"/>
        </w:rPr>
        <w:t>表</w:t>
      </w:r>
      <w:r>
        <w:rPr>
          <w:rFonts w:hint="eastAsia"/>
          <w:kern w:val="0"/>
        </w:rPr>
        <w:t xml:space="preserve">8.  </w:t>
      </w:r>
      <w:r>
        <w:rPr>
          <w:rFonts w:hint="eastAsia"/>
          <w:kern w:val="0"/>
        </w:rPr>
        <w:t>按郡分列的</w:t>
      </w:r>
      <w:r>
        <w:rPr>
          <w:rFonts w:hint="eastAsia"/>
          <w:kern w:val="0"/>
        </w:rPr>
        <w:t>1993-1998</w:t>
      </w:r>
      <w:r>
        <w:rPr>
          <w:rFonts w:hint="eastAsia"/>
          <w:kern w:val="0"/>
        </w:rPr>
        <w:t>年克罗地亚</w:t>
      </w:r>
      <w:r>
        <w:rPr>
          <w:rFonts w:hint="eastAsia"/>
        </w:rPr>
        <w:t>围产期死亡率</w:t>
      </w:r>
    </w:p>
    <w:tbl>
      <w:tblPr>
        <w:tblW w:w="0" w:type="auto"/>
        <w:tblLook w:val="0000" w:firstRow="0" w:lastRow="0" w:firstColumn="0" w:lastColumn="0" w:noHBand="0" w:noVBand="0"/>
      </w:tblPr>
      <w:tblGrid>
        <w:gridCol w:w="4067"/>
        <w:gridCol w:w="871"/>
        <w:gridCol w:w="945"/>
        <w:gridCol w:w="945"/>
        <w:gridCol w:w="840"/>
        <w:gridCol w:w="945"/>
        <w:gridCol w:w="957"/>
      </w:tblGrid>
      <w:tr w:rsidR="00000000">
        <w:tblPrEx>
          <w:tblCellMar>
            <w:top w:w="0" w:type="dxa"/>
            <w:bottom w:w="0" w:type="dxa"/>
          </w:tblCellMar>
        </w:tblPrEx>
        <w:trPr>
          <w:cantSplit/>
        </w:trPr>
        <w:tc>
          <w:tcPr>
            <w:tcW w:w="4067" w:type="dxa"/>
            <w:tcBorders>
              <w:top w:val="single" w:sz="4" w:space="0" w:color="auto"/>
              <w:bottom w:val="single" w:sz="4" w:space="0" w:color="auto"/>
            </w:tcBorders>
          </w:tcPr>
          <w:p w:rsidR="00000000" w:rsidRDefault="00000000">
            <w:pPr>
              <w:pStyle w:val="Heading3"/>
              <w:spacing w:before="120" w:after="0" w:line="312" w:lineRule="auto"/>
              <w:rPr>
                <w:rFonts w:hint="eastAsia"/>
                <w:sz w:val="20"/>
                <w:u w:val="none"/>
              </w:rPr>
            </w:pPr>
            <w:r>
              <w:rPr>
                <w:rFonts w:hint="eastAsia"/>
                <w:sz w:val="20"/>
                <w:u w:val="none"/>
              </w:rPr>
              <w:t>郡</w:t>
            </w:r>
          </w:p>
        </w:tc>
        <w:tc>
          <w:tcPr>
            <w:tcW w:w="5503" w:type="dxa"/>
            <w:gridSpan w:val="6"/>
            <w:tcBorders>
              <w:top w:val="single" w:sz="4" w:space="0" w:color="auto"/>
              <w:bottom w:val="single" w:sz="4" w:space="0" w:color="auto"/>
            </w:tcBorders>
          </w:tcPr>
          <w:p w:rsidR="00000000" w:rsidRDefault="00000000">
            <w:pPr>
              <w:pStyle w:val="Heading3"/>
              <w:spacing w:before="120" w:after="0" w:line="312" w:lineRule="auto"/>
              <w:rPr>
                <w:rFonts w:hint="eastAsia"/>
                <w:sz w:val="20"/>
                <w:u w:val="none"/>
              </w:rPr>
            </w:pPr>
            <w:r>
              <w:rPr>
                <w:rFonts w:hint="eastAsia"/>
                <w:sz w:val="20"/>
                <w:u w:val="none"/>
              </w:rPr>
              <w:t>死亡率</w:t>
            </w:r>
            <w:r>
              <w:rPr>
                <w:rFonts w:hint="eastAsia"/>
                <w:sz w:val="20"/>
                <w:u w:val="none"/>
              </w:rPr>
              <w:t>(</w:t>
            </w:r>
            <w:r>
              <w:rPr>
                <w:rFonts w:hint="eastAsia"/>
                <w:sz w:val="20"/>
                <w:u w:val="none"/>
              </w:rPr>
              <w:t>每</w:t>
            </w:r>
            <w:r>
              <w:rPr>
                <w:rFonts w:hint="eastAsia"/>
                <w:sz w:val="20"/>
                <w:u w:val="none"/>
              </w:rPr>
              <w:t>1,000</w:t>
            </w:r>
            <w:r>
              <w:rPr>
                <w:rFonts w:hint="eastAsia"/>
                <w:sz w:val="20"/>
                <w:u w:val="none"/>
              </w:rPr>
              <w:t>例新生儿</w:t>
            </w:r>
            <w:r>
              <w:rPr>
                <w:rFonts w:hint="eastAsia"/>
                <w:sz w:val="20"/>
                <w:u w:val="none"/>
              </w:rPr>
              <w:t>)</w:t>
            </w:r>
          </w:p>
        </w:tc>
      </w:tr>
      <w:tr w:rsidR="00000000">
        <w:tblPrEx>
          <w:tblCellMar>
            <w:top w:w="0" w:type="dxa"/>
            <w:bottom w:w="0" w:type="dxa"/>
          </w:tblCellMar>
        </w:tblPrEx>
        <w:tc>
          <w:tcPr>
            <w:tcW w:w="4067" w:type="dxa"/>
            <w:tcBorders>
              <w:top w:val="single" w:sz="4" w:space="0" w:color="auto"/>
              <w:bottom w:val="single" w:sz="4" w:space="0" w:color="auto"/>
            </w:tcBorders>
          </w:tcPr>
          <w:p w:rsidR="00000000" w:rsidRDefault="00000000">
            <w:pPr>
              <w:pStyle w:val="Heading3"/>
              <w:spacing w:before="120" w:after="0" w:line="312" w:lineRule="auto"/>
              <w:rPr>
                <w:rFonts w:hint="eastAsia"/>
                <w:sz w:val="20"/>
              </w:rPr>
            </w:pPr>
          </w:p>
        </w:tc>
        <w:tc>
          <w:tcPr>
            <w:tcW w:w="871" w:type="dxa"/>
            <w:tcBorders>
              <w:top w:val="single" w:sz="4" w:space="0" w:color="auto"/>
              <w:bottom w:val="single" w:sz="4" w:space="0" w:color="auto"/>
            </w:tcBorders>
          </w:tcPr>
          <w:p w:rsidR="00000000" w:rsidRDefault="00000000">
            <w:pPr>
              <w:pStyle w:val="Heading3"/>
              <w:spacing w:before="120" w:after="0" w:line="312" w:lineRule="auto"/>
              <w:rPr>
                <w:rFonts w:hint="eastAsia"/>
                <w:sz w:val="20"/>
                <w:u w:val="none"/>
              </w:rPr>
            </w:pPr>
            <w:r>
              <w:rPr>
                <w:rFonts w:hint="eastAsia"/>
                <w:sz w:val="20"/>
                <w:u w:val="none"/>
              </w:rPr>
              <w:t>1993</w:t>
            </w:r>
          </w:p>
        </w:tc>
        <w:tc>
          <w:tcPr>
            <w:tcW w:w="945" w:type="dxa"/>
            <w:tcBorders>
              <w:top w:val="single" w:sz="4" w:space="0" w:color="auto"/>
              <w:bottom w:val="single" w:sz="4" w:space="0" w:color="auto"/>
            </w:tcBorders>
          </w:tcPr>
          <w:p w:rsidR="00000000" w:rsidRDefault="00000000">
            <w:pPr>
              <w:pStyle w:val="Heading3"/>
              <w:spacing w:before="120" w:after="0" w:line="312" w:lineRule="auto"/>
              <w:rPr>
                <w:rFonts w:hint="eastAsia"/>
                <w:sz w:val="20"/>
              </w:rPr>
            </w:pPr>
            <w:r>
              <w:rPr>
                <w:rFonts w:hint="eastAsia"/>
                <w:sz w:val="20"/>
                <w:u w:val="none"/>
              </w:rPr>
              <w:t>1994</w:t>
            </w:r>
          </w:p>
        </w:tc>
        <w:tc>
          <w:tcPr>
            <w:tcW w:w="945" w:type="dxa"/>
            <w:tcBorders>
              <w:top w:val="single" w:sz="4" w:space="0" w:color="auto"/>
              <w:bottom w:val="single" w:sz="4" w:space="0" w:color="auto"/>
            </w:tcBorders>
          </w:tcPr>
          <w:p w:rsidR="00000000" w:rsidRDefault="00000000">
            <w:pPr>
              <w:pStyle w:val="Heading3"/>
              <w:spacing w:before="120" w:after="0" w:line="312" w:lineRule="auto"/>
              <w:rPr>
                <w:rFonts w:hint="eastAsia"/>
                <w:sz w:val="20"/>
              </w:rPr>
            </w:pPr>
            <w:r>
              <w:rPr>
                <w:rFonts w:hint="eastAsia"/>
                <w:sz w:val="20"/>
                <w:u w:val="none"/>
              </w:rPr>
              <w:t>1995</w:t>
            </w:r>
          </w:p>
        </w:tc>
        <w:tc>
          <w:tcPr>
            <w:tcW w:w="840" w:type="dxa"/>
            <w:tcBorders>
              <w:top w:val="single" w:sz="4" w:space="0" w:color="auto"/>
              <w:bottom w:val="single" w:sz="4" w:space="0" w:color="auto"/>
            </w:tcBorders>
          </w:tcPr>
          <w:p w:rsidR="00000000" w:rsidRDefault="00000000">
            <w:pPr>
              <w:pStyle w:val="Heading3"/>
              <w:spacing w:before="120" w:after="0" w:line="312" w:lineRule="auto"/>
              <w:rPr>
                <w:rFonts w:hint="eastAsia"/>
                <w:sz w:val="20"/>
              </w:rPr>
            </w:pPr>
            <w:r>
              <w:rPr>
                <w:rFonts w:hint="eastAsia"/>
                <w:sz w:val="20"/>
                <w:u w:val="none"/>
              </w:rPr>
              <w:t>1996</w:t>
            </w:r>
          </w:p>
        </w:tc>
        <w:tc>
          <w:tcPr>
            <w:tcW w:w="945" w:type="dxa"/>
            <w:tcBorders>
              <w:top w:val="single" w:sz="4" w:space="0" w:color="auto"/>
              <w:bottom w:val="single" w:sz="4" w:space="0" w:color="auto"/>
            </w:tcBorders>
          </w:tcPr>
          <w:p w:rsidR="00000000" w:rsidRDefault="00000000">
            <w:pPr>
              <w:pStyle w:val="Heading3"/>
              <w:spacing w:before="120" w:after="0" w:line="312" w:lineRule="auto"/>
              <w:rPr>
                <w:rFonts w:hint="eastAsia"/>
                <w:sz w:val="20"/>
              </w:rPr>
            </w:pPr>
            <w:r>
              <w:rPr>
                <w:rFonts w:hint="eastAsia"/>
                <w:sz w:val="20"/>
                <w:u w:val="none"/>
              </w:rPr>
              <w:t>1997</w:t>
            </w:r>
          </w:p>
        </w:tc>
        <w:tc>
          <w:tcPr>
            <w:tcW w:w="957" w:type="dxa"/>
            <w:tcBorders>
              <w:top w:val="single" w:sz="4" w:space="0" w:color="auto"/>
              <w:bottom w:val="single" w:sz="4" w:space="0" w:color="auto"/>
            </w:tcBorders>
          </w:tcPr>
          <w:p w:rsidR="00000000" w:rsidRDefault="00000000">
            <w:pPr>
              <w:pStyle w:val="Heading3"/>
              <w:spacing w:before="120" w:after="0" w:line="312" w:lineRule="auto"/>
              <w:rPr>
                <w:rFonts w:hint="eastAsia"/>
                <w:sz w:val="20"/>
              </w:rPr>
            </w:pPr>
            <w:r>
              <w:rPr>
                <w:rFonts w:hint="eastAsia"/>
                <w:sz w:val="20"/>
                <w:u w:val="none"/>
              </w:rPr>
              <w:t>1998</w:t>
            </w:r>
          </w:p>
        </w:tc>
      </w:tr>
      <w:tr w:rsidR="00000000">
        <w:tblPrEx>
          <w:tblCellMar>
            <w:top w:w="0" w:type="dxa"/>
            <w:bottom w:w="0" w:type="dxa"/>
          </w:tblCellMar>
        </w:tblPrEx>
        <w:tc>
          <w:tcPr>
            <w:tcW w:w="4067" w:type="dxa"/>
            <w:tcBorders>
              <w:top w:val="single" w:sz="4" w:space="0" w:color="auto"/>
            </w:tcBorders>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City of Zagreb</w:t>
            </w:r>
          </w:p>
        </w:tc>
        <w:tc>
          <w:tcPr>
            <w:tcW w:w="871" w:type="dxa"/>
            <w:tcBorders>
              <w:top w:val="single" w:sz="4" w:space="0" w:color="auto"/>
            </w:tcBorders>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8.7</w:t>
            </w:r>
          </w:p>
        </w:tc>
        <w:tc>
          <w:tcPr>
            <w:tcW w:w="945" w:type="dxa"/>
            <w:tcBorders>
              <w:top w:val="single" w:sz="4" w:space="0" w:color="auto"/>
            </w:tcBorders>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9.9</w:t>
            </w:r>
          </w:p>
        </w:tc>
        <w:tc>
          <w:tcPr>
            <w:tcW w:w="945" w:type="dxa"/>
            <w:tcBorders>
              <w:top w:val="single" w:sz="4" w:space="0" w:color="auto"/>
            </w:tcBorders>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w:t>
            </w:r>
          </w:p>
        </w:tc>
        <w:tc>
          <w:tcPr>
            <w:tcW w:w="840" w:type="dxa"/>
            <w:tcBorders>
              <w:top w:val="single" w:sz="4" w:space="0" w:color="auto"/>
            </w:tcBorders>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8.5</w:t>
            </w:r>
          </w:p>
        </w:tc>
        <w:tc>
          <w:tcPr>
            <w:tcW w:w="945" w:type="dxa"/>
            <w:tcBorders>
              <w:top w:val="single" w:sz="4" w:space="0" w:color="auto"/>
            </w:tcBorders>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9.0</w:t>
            </w:r>
          </w:p>
        </w:tc>
        <w:tc>
          <w:tcPr>
            <w:tcW w:w="957" w:type="dxa"/>
            <w:tcBorders>
              <w:top w:val="single" w:sz="4" w:space="0" w:color="auto"/>
            </w:tcBorders>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8.7</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Zagreba</w:t>
            </w:r>
            <w:r>
              <w:rPr>
                <w:sz w:val="21"/>
                <w:szCs w:val="21"/>
                <w:lang w:val="en-GB"/>
              </w:rPr>
              <w:t>č</w:t>
            </w:r>
            <w:r>
              <w:rPr>
                <w:sz w:val="19"/>
                <w:szCs w:val="19"/>
                <w:lang w:val="en-GB"/>
              </w:rPr>
              <w:t>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8.9</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5.6</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7.8</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8.0</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8.2</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10.5</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Krapinsko-zagorska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8.7</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7.9</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9.0</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9.8</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4.4</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5.2</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Sisa</w:t>
            </w:r>
            <w:r>
              <w:rPr>
                <w:sz w:val="21"/>
                <w:szCs w:val="21"/>
                <w:lang w:val="en-GB"/>
              </w:rPr>
              <w:t>č</w:t>
            </w:r>
            <w:r>
              <w:rPr>
                <w:sz w:val="19"/>
                <w:szCs w:val="19"/>
                <w:lang w:val="en-GB"/>
              </w:rPr>
              <w:t>ko-moslava</w:t>
            </w:r>
            <w:r>
              <w:rPr>
                <w:sz w:val="21"/>
                <w:szCs w:val="21"/>
                <w:lang w:val="en-GB"/>
              </w:rPr>
              <w:t>č</w:t>
            </w:r>
            <w:r>
              <w:rPr>
                <w:sz w:val="19"/>
                <w:szCs w:val="19"/>
                <w:lang w:val="en-GB"/>
              </w:rPr>
              <w:t>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8.4</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3.8</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7.0</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8.0</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9.6</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8.7</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Karlova</w:t>
            </w:r>
            <w:r>
              <w:rPr>
                <w:sz w:val="21"/>
                <w:szCs w:val="21"/>
                <w:lang w:val="en-GB"/>
              </w:rPr>
              <w:t>č</w:t>
            </w:r>
            <w:r>
              <w:rPr>
                <w:sz w:val="19"/>
                <w:szCs w:val="19"/>
                <w:lang w:val="en-GB"/>
              </w:rPr>
              <w:t>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6.1</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6.3</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7.0</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5.2</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7.5</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6.2</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Varaždinska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12.6</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10.6</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8.2</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7.7</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10.9</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7.0</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Koprivni</w:t>
            </w:r>
            <w:r>
              <w:rPr>
                <w:sz w:val="21"/>
                <w:szCs w:val="21"/>
                <w:lang w:val="en-GB"/>
              </w:rPr>
              <w:t>č</w:t>
            </w:r>
            <w:r>
              <w:rPr>
                <w:sz w:val="19"/>
                <w:szCs w:val="19"/>
                <w:lang w:val="en-GB"/>
              </w:rPr>
              <w:t>ko-križeva</w:t>
            </w:r>
            <w:r>
              <w:rPr>
                <w:sz w:val="21"/>
                <w:szCs w:val="21"/>
                <w:lang w:val="en-GB"/>
              </w:rPr>
              <w:t>č</w:t>
            </w:r>
            <w:r>
              <w:rPr>
                <w:sz w:val="19"/>
                <w:szCs w:val="19"/>
                <w:lang w:val="en-GB"/>
              </w:rPr>
              <w:t>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11.9</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7.9</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8.9</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13.2</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12.7</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13.2</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Bjelovarsko-bilogorska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7.1</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7.7</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10.6</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5.3</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6.5</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11.8</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Primorsko-goranska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5.7</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7.4</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7.7</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7.7</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7.2</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8.5</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Li</w:t>
            </w:r>
            <w:r>
              <w:rPr>
                <w:sz w:val="21"/>
                <w:szCs w:val="21"/>
                <w:lang w:val="en-GB"/>
              </w:rPr>
              <w:t>č</w:t>
            </w:r>
            <w:r>
              <w:rPr>
                <w:sz w:val="19"/>
                <w:szCs w:val="19"/>
                <w:lang w:val="en-GB"/>
              </w:rPr>
              <w:t>ko-senjska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24.3</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9.7</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5.8</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20.3</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9.6</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11.0</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Viroviti</w:t>
            </w:r>
            <w:r>
              <w:rPr>
                <w:sz w:val="21"/>
                <w:szCs w:val="21"/>
                <w:lang w:val="en-GB"/>
              </w:rPr>
              <w:t>č</w:t>
            </w:r>
            <w:r>
              <w:rPr>
                <w:sz w:val="19"/>
                <w:szCs w:val="19"/>
                <w:lang w:val="en-GB"/>
              </w:rPr>
              <w:t>ko-podravska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8.5</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6.1</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6.2</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6.2</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12.1</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6.3</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Požeško-slavonska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15.0</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13.8</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8.6</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8.4</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8.6</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14.0</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Brodsko-posavska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11.2</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14.2</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12.3</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7.1</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12.5</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9.7</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Zadarska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11.1</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13.7</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8.6</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12.0</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11.0</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6.1</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Osje</w:t>
            </w:r>
            <w:r>
              <w:rPr>
                <w:sz w:val="21"/>
                <w:szCs w:val="21"/>
                <w:lang w:val="en-GB"/>
              </w:rPr>
              <w:t>č</w:t>
            </w:r>
            <w:r>
              <w:rPr>
                <w:sz w:val="19"/>
                <w:szCs w:val="19"/>
                <w:lang w:val="en-GB"/>
              </w:rPr>
              <w:t>ko-baranjska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16.1</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12.8</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10.9</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6.9</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7.9</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9.9</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Šibensko-kninska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12.2</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11.9</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11.9</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9.8</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16.0</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10.1</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Vukovarsko-srijemska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10.5</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8.7</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10.5</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9.8</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8.8</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10.7</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Splitsko-dalmatinska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8.0</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11.2</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8.9</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10.7</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7.8</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6.2</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Istarska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10.0</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5.9</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11.2</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6.7</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3.8</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8.3</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Dubrova</w:t>
            </w:r>
            <w:r>
              <w:rPr>
                <w:sz w:val="21"/>
                <w:szCs w:val="21"/>
                <w:lang w:val="en-GB"/>
              </w:rPr>
              <w:t>č</w:t>
            </w:r>
            <w:r>
              <w:rPr>
                <w:sz w:val="19"/>
                <w:szCs w:val="19"/>
                <w:lang w:val="en-GB"/>
              </w:rPr>
              <w:t>ko-neretvanska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9.9</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9.6</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9.1</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9.9</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6.6</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11.3</w:t>
            </w:r>
          </w:p>
        </w:tc>
      </w:tr>
      <w:tr w:rsidR="00000000">
        <w:tblPrEx>
          <w:tblCellMar>
            <w:top w:w="0" w:type="dxa"/>
            <w:bottom w:w="0" w:type="dxa"/>
          </w:tblCellMar>
        </w:tblPrEx>
        <w:tc>
          <w:tcPr>
            <w:tcW w:w="406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rPr>
                <w:sz w:val="19"/>
                <w:szCs w:val="19"/>
                <w:lang w:val="en-GB"/>
              </w:rPr>
            </w:pPr>
            <w:r>
              <w:rPr>
                <w:sz w:val="19"/>
                <w:szCs w:val="19"/>
                <w:lang w:val="en-GB"/>
              </w:rPr>
              <w:t>Medimurska</w:t>
            </w:r>
          </w:p>
        </w:tc>
        <w:tc>
          <w:tcPr>
            <w:tcW w:w="871"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8.9</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11.6</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18.6</w:t>
            </w:r>
          </w:p>
        </w:tc>
        <w:tc>
          <w:tcPr>
            <w:tcW w:w="840"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8.2</w:t>
            </w:r>
          </w:p>
        </w:tc>
        <w:tc>
          <w:tcPr>
            <w:tcW w:w="945"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8.7</w:t>
            </w:r>
          </w:p>
        </w:tc>
        <w:tc>
          <w:tcPr>
            <w:tcW w:w="957" w:type="dxa"/>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line="312" w:lineRule="auto"/>
              <w:ind w:right="170"/>
              <w:jc w:val="right"/>
              <w:rPr>
                <w:sz w:val="19"/>
                <w:szCs w:val="19"/>
                <w:lang w:val="en-GB"/>
              </w:rPr>
            </w:pPr>
            <w:r>
              <w:rPr>
                <w:sz w:val="19"/>
                <w:szCs w:val="19"/>
                <w:lang w:val="en-GB"/>
              </w:rPr>
              <w:t>9.9</w:t>
            </w:r>
          </w:p>
        </w:tc>
      </w:tr>
      <w:tr w:rsidR="00000000">
        <w:tblPrEx>
          <w:tblCellMar>
            <w:top w:w="0" w:type="dxa"/>
            <w:bottom w:w="0" w:type="dxa"/>
          </w:tblCellMar>
        </w:tblPrEx>
        <w:tc>
          <w:tcPr>
            <w:tcW w:w="4067" w:type="dxa"/>
            <w:tcBorders>
              <w:bottom w:val="single" w:sz="4" w:space="0" w:color="auto"/>
            </w:tcBorders>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19" w:line="312" w:lineRule="auto"/>
              <w:rPr>
                <w:sz w:val="19"/>
                <w:szCs w:val="19"/>
                <w:lang w:val="en-GB"/>
              </w:rPr>
            </w:pPr>
            <w:r>
              <w:rPr>
                <w:sz w:val="19"/>
                <w:szCs w:val="19"/>
                <w:lang w:val="en-GB"/>
              </w:rPr>
              <w:t xml:space="preserve">  </w:t>
            </w:r>
            <w:r>
              <w:rPr>
                <w:b/>
                <w:bCs/>
                <w:sz w:val="19"/>
                <w:szCs w:val="19"/>
                <w:lang w:val="en-GB"/>
              </w:rPr>
              <w:t>CROATIA</w:t>
            </w:r>
          </w:p>
        </w:tc>
        <w:tc>
          <w:tcPr>
            <w:tcW w:w="871" w:type="dxa"/>
            <w:tcBorders>
              <w:bottom w:val="single" w:sz="4" w:space="0" w:color="auto"/>
            </w:tcBorders>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19" w:line="312" w:lineRule="auto"/>
              <w:ind w:right="170"/>
              <w:jc w:val="right"/>
              <w:rPr>
                <w:sz w:val="19"/>
                <w:szCs w:val="19"/>
                <w:lang w:val="en-GB"/>
              </w:rPr>
            </w:pPr>
            <w:r>
              <w:rPr>
                <w:sz w:val="19"/>
                <w:szCs w:val="19"/>
                <w:lang w:val="en-GB"/>
              </w:rPr>
              <w:t>9.9</w:t>
            </w:r>
          </w:p>
        </w:tc>
        <w:tc>
          <w:tcPr>
            <w:tcW w:w="945" w:type="dxa"/>
            <w:tcBorders>
              <w:bottom w:val="single" w:sz="4" w:space="0" w:color="auto"/>
            </w:tcBorders>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19" w:line="312" w:lineRule="auto"/>
              <w:ind w:right="170"/>
              <w:jc w:val="right"/>
              <w:rPr>
                <w:sz w:val="19"/>
                <w:szCs w:val="19"/>
                <w:lang w:val="en-GB"/>
              </w:rPr>
            </w:pPr>
            <w:r>
              <w:rPr>
                <w:sz w:val="19"/>
                <w:szCs w:val="19"/>
                <w:lang w:val="en-GB"/>
              </w:rPr>
              <w:t>9.7</w:t>
            </w:r>
          </w:p>
        </w:tc>
        <w:tc>
          <w:tcPr>
            <w:tcW w:w="945" w:type="dxa"/>
            <w:tcBorders>
              <w:bottom w:val="single" w:sz="4" w:space="0" w:color="auto"/>
            </w:tcBorders>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19" w:line="312" w:lineRule="auto"/>
              <w:ind w:right="170"/>
              <w:jc w:val="right"/>
              <w:rPr>
                <w:sz w:val="19"/>
                <w:szCs w:val="19"/>
                <w:lang w:val="en-GB"/>
              </w:rPr>
            </w:pPr>
            <w:r>
              <w:rPr>
                <w:sz w:val="19"/>
                <w:szCs w:val="19"/>
                <w:lang w:val="en-GB"/>
              </w:rPr>
              <w:t>9.2</w:t>
            </w:r>
          </w:p>
        </w:tc>
        <w:tc>
          <w:tcPr>
            <w:tcW w:w="840" w:type="dxa"/>
            <w:tcBorders>
              <w:bottom w:val="single" w:sz="4" w:space="0" w:color="auto"/>
            </w:tcBorders>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19" w:line="312" w:lineRule="auto"/>
              <w:ind w:right="170"/>
              <w:jc w:val="right"/>
              <w:rPr>
                <w:sz w:val="19"/>
                <w:szCs w:val="19"/>
                <w:lang w:val="en-GB"/>
              </w:rPr>
            </w:pPr>
            <w:r>
              <w:rPr>
                <w:sz w:val="19"/>
                <w:szCs w:val="19"/>
                <w:lang w:val="en-GB"/>
              </w:rPr>
              <w:t>8.7</w:t>
            </w:r>
          </w:p>
        </w:tc>
        <w:tc>
          <w:tcPr>
            <w:tcW w:w="945" w:type="dxa"/>
            <w:tcBorders>
              <w:bottom w:val="single" w:sz="4" w:space="0" w:color="auto"/>
            </w:tcBorders>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19" w:line="312" w:lineRule="auto"/>
              <w:ind w:right="170"/>
              <w:jc w:val="right"/>
              <w:rPr>
                <w:sz w:val="19"/>
                <w:szCs w:val="19"/>
                <w:lang w:val="en-GB"/>
              </w:rPr>
            </w:pPr>
            <w:r>
              <w:rPr>
                <w:sz w:val="19"/>
                <w:szCs w:val="19"/>
                <w:lang w:val="en-GB"/>
              </w:rPr>
              <w:t>8.8</w:t>
            </w:r>
          </w:p>
        </w:tc>
        <w:tc>
          <w:tcPr>
            <w:tcW w:w="957" w:type="dxa"/>
            <w:tcBorders>
              <w:bottom w:val="single" w:sz="4" w:space="0" w:color="auto"/>
            </w:tcBorders>
          </w:tcPr>
          <w:p w:rsidR="00000000" w:rsidRDefault="00000000">
            <w:pPr>
              <w:keepNext/>
              <w:keepLines/>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19" w:line="312" w:lineRule="auto"/>
              <w:ind w:right="170"/>
              <w:jc w:val="right"/>
              <w:rPr>
                <w:sz w:val="19"/>
                <w:szCs w:val="19"/>
                <w:lang w:val="en-GB"/>
              </w:rPr>
            </w:pPr>
            <w:r>
              <w:rPr>
                <w:sz w:val="19"/>
                <w:szCs w:val="19"/>
                <w:lang w:val="en-GB"/>
              </w:rPr>
              <w:t>8.9</w:t>
            </w:r>
          </w:p>
        </w:tc>
      </w:tr>
    </w:tbl>
    <w:p w:rsidR="00000000" w:rsidRDefault="00000000">
      <w:pPr>
        <w:spacing w:before="240" w:after="320" w:line="312" w:lineRule="auto"/>
        <w:rPr>
          <w:rFonts w:eastAsia="KaiTi_GB2312"/>
          <w:spacing w:val="0"/>
        </w:rPr>
      </w:pPr>
      <w:r>
        <w:rPr>
          <w:rFonts w:eastAsia="KaiTi_GB2312" w:hint="eastAsia"/>
          <w:spacing w:val="0"/>
        </w:rPr>
        <w:t>资料来源：国家统计局的资料</w:t>
      </w:r>
    </w:p>
    <w:p w:rsidR="00000000" w:rsidRDefault="00000000">
      <w:r>
        <w:rPr>
          <w:rFonts w:hint="eastAsia"/>
        </w:rPr>
        <w:tab/>
        <w:t xml:space="preserve">368.  </w:t>
      </w:r>
      <w:r>
        <w:rPr>
          <w:rFonts w:hint="eastAsia"/>
        </w:rPr>
        <w:t>克罗地亚共和国具有先进的全国保健政策。早在</w:t>
      </w:r>
      <w:r>
        <w:rPr>
          <w:rFonts w:hint="eastAsia"/>
        </w:rPr>
        <w:t>1991</w:t>
      </w:r>
      <w:r>
        <w:rPr>
          <w:rFonts w:hint="eastAsia"/>
        </w:rPr>
        <w:t>年，克罗地亚共和国保健委员会编制了一份保健政策文书，所采取的政策以其他欧洲国家的做法为基础，称为“</w:t>
      </w:r>
      <w:r>
        <w:rPr>
          <w:rFonts w:hint="eastAsia"/>
        </w:rPr>
        <w:t>2000</w:t>
      </w:r>
      <w:r>
        <w:rPr>
          <w:rFonts w:hint="eastAsia"/>
        </w:rPr>
        <w:t>年前增强所有人的健康”。这项战略本可以更早实行，但由于克罗地亚被迫卷入战争而搁置。为此，根据</w:t>
      </w:r>
      <w:r>
        <w:rPr>
          <w:rFonts w:hint="eastAsia"/>
        </w:rPr>
        <w:t>1994</w:t>
      </w:r>
      <w:r>
        <w:rPr>
          <w:rFonts w:hint="eastAsia"/>
        </w:rPr>
        <w:t>年制定的保健政策文书，卫生部长提出了一份新的保健政策文书，称为“</w:t>
      </w:r>
      <w:r>
        <w:rPr>
          <w:rFonts w:hint="eastAsia"/>
        </w:rPr>
        <w:t>2005</w:t>
      </w:r>
      <w:r>
        <w:rPr>
          <w:rFonts w:hint="eastAsia"/>
        </w:rPr>
        <w:t>年前增强所有人的健康”的政策和战略。</w:t>
      </w:r>
    </w:p>
    <w:p w:rsidR="00000000" w:rsidRDefault="00000000">
      <w:r>
        <w:rPr>
          <w:rFonts w:hint="eastAsia"/>
        </w:rPr>
        <w:tab/>
        <w:t xml:space="preserve">369.  </w:t>
      </w:r>
      <w:r>
        <w:rPr>
          <w:rFonts w:hint="eastAsia"/>
        </w:rPr>
        <w:t>上述所有文书的重点是初级保健。克罗地亚与国际组织合作，以保健领域的初级保健为重点。克罗地亚正在与卫生组织合作从事一个项目，进一步更有力地在国内发展初级保健。</w:t>
      </w:r>
    </w:p>
    <w:p w:rsidR="00000000" w:rsidRDefault="00000000">
      <w:r>
        <w:rPr>
          <w:rFonts w:hint="eastAsia"/>
        </w:rPr>
        <w:tab/>
        <w:t xml:space="preserve">370.  </w:t>
      </w:r>
      <w:r>
        <w:rPr>
          <w:rFonts w:hint="eastAsia"/>
        </w:rPr>
        <w:t>在扩大和加强克罗地亚的初级保健方面正在与世界银行合作执行一个经常性的项目，该项目非常成功，它有三个基本任务：</w:t>
      </w:r>
    </w:p>
    <w:p w:rsidR="00000000" w:rsidRDefault="00000000">
      <w:pPr>
        <w:ind w:left="1040"/>
      </w:pPr>
      <w:r>
        <w:t>(a)</w:t>
      </w:r>
      <w:r>
        <w:rPr>
          <w:rFonts w:hint="eastAsia"/>
        </w:rPr>
        <w:tab/>
      </w:r>
      <w:r>
        <w:rPr>
          <w:rFonts w:hint="eastAsia"/>
        </w:rPr>
        <w:t>在提供初级保健组方面扩大全国境内的覆盖率；</w:t>
      </w:r>
    </w:p>
    <w:p w:rsidR="00000000" w:rsidRDefault="00000000">
      <w:pPr>
        <w:ind w:left="1040"/>
      </w:pPr>
      <w:r>
        <w:t>(b)</w:t>
      </w:r>
      <w:r>
        <w:rPr>
          <w:rFonts w:hint="eastAsia"/>
        </w:rPr>
        <w:tab/>
      </w:r>
      <w:r>
        <w:rPr>
          <w:rFonts w:hint="eastAsia"/>
        </w:rPr>
        <w:t>提高受雇于从事初级保健工作的医生的专业能力；</w:t>
      </w:r>
    </w:p>
    <w:p w:rsidR="00000000" w:rsidRDefault="00000000">
      <w:pPr>
        <w:ind w:left="1560" w:hanging="480"/>
      </w:pPr>
      <w:r>
        <w:t>(c)</w:t>
      </w:r>
      <w:r>
        <w:rPr>
          <w:rFonts w:hint="eastAsia"/>
        </w:rPr>
        <w:tab/>
      </w:r>
      <w:r>
        <w:rPr>
          <w:rFonts w:hint="eastAsia"/>
        </w:rPr>
        <w:t>向初级保健组提供必要的设备，使他们能够达到一定程度的自给自足。</w:t>
      </w:r>
    </w:p>
    <w:p w:rsidR="00000000" w:rsidRDefault="00000000">
      <w:pPr>
        <w:spacing w:after="240"/>
      </w:pPr>
      <w:r>
        <w:rPr>
          <w:rFonts w:hint="eastAsia"/>
        </w:rPr>
        <w:tab/>
        <w:t xml:space="preserve">371.  </w:t>
      </w:r>
      <w:r>
        <w:rPr>
          <w:rFonts w:hint="eastAsia"/>
        </w:rPr>
        <w:t>据卫生部根据克罗地亚统计局收集的数据而编写的一份官方报告和克罗地亚医疗保险研究所说，克罗地亚花在保健上的</w:t>
      </w:r>
      <w:r>
        <w:rPr>
          <w:rFonts w:hint="eastAsia"/>
        </w:rPr>
        <w:t>GDP</w:t>
      </w:r>
      <w:r>
        <w:rPr>
          <w:rFonts w:hint="eastAsia"/>
        </w:rPr>
        <w:t>为</w:t>
      </w:r>
      <w:r>
        <w:rPr>
          <w:rFonts w:hint="eastAsia"/>
        </w:rPr>
        <w:t>7.6%</w:t>
      </w:r>
      <w:r>
        <w:rPr>
          <w:rFonts w:hint="eastAsia"/>
        </w:rPr>
        <w:t>。初级保健占这笔资金的</w:t>
      </w:r>
      <w:r>
        <w:rPr>
          <w:rFonts w:hint="eastAsia"/>
        </w:rPr>
        <w:t>15.4%</w:t>
      </w:r>
      <w:r>
        <w:rPr>
          <w:rFonts w:hint="eastAsia"/>
        </w:rPr>
        <w:t>。</w:t>
      </w:r>
      <w:r>
        <w:rPr>
          <w:rFonts w:hint="eastAsia"/>
        </w:rPr>
        <w:t>1985</w:t>
      </w:r>
      <w:r>
        <w:rPr>
          <w:rFonts w:hint="eastAsia"/>
        </w:rPr>
        <w:t>年，初级保健获得整个保健预算的</w:t>
      </w:r>
      <w:r>
        <w:rPr>
          <w:rFonts w:hint="eastAsia"/>
        </w:rPr>
        <w:t>10.3%</w:t>
      </w:r>
      <w:r>
        <w:rPr>
          <w:rFonts w:hint="eastAsia"/>
        </w:rPr>
        <w:t>，</w:t>
      </w:r>
      <w:r>
        <w:rPr>
          <w:rFonts w:hint="eastAsia"/>
        </w:rPr>
        <w:t>1990</w:t>
      </w:r>
      <w:r>
        <w:rPr>
          <w:rFonts w:hint="eastAsia"/>
        </w:rPr>
        <w:t>年</w:t>
      </w:r>
      <w:r>
        <w:rPr>
          <w:rFonts w:hint="eastAsia"/>
        </w:rPr>
        <w:t>14.5%</w:t>
      </w:r>
      <w:r>
        <w:rPr>
          <w:rFonts w:hint="eastAsia"/>
        </w:rPr>
        <w:t>。</w:t>
      </w:r>
      <w:r>
        <w:rPr>
          <w:rFonts w:hint="eastAsia"/>
        </w:rPr>
        <w:tab/>
        <w:t xml:space="preserve">372.  </w:t>
      </w:r>
      <w:r>
        <w:rPr>
          <w:rFonts w:hint="eastAsia"/>
        </w:rPr>
        <w:t>儿童接种预防白喉、百日咳、破伤风、麻疹、小儿麻痹症和肺炎的程度列于卫生组织指标</w:t>
      </w:r>
      <w:r>
        <w:rPr>
          <w:rFonts w:hint="eastAsia"/>
        </w:rPr>
        <w:t>280101-280106(</w:t>
      </w:r>
      <w:r>
        <w:rPr>
          <w:rFonts w:hint="eastAsia"/>
        </w:rPr>
        <w:t>见表</w:t>
      </w:r>
      <w:r>
        <w:rPr>
          <w:rFonts w:hint="eastAsia"/>
        </w:rPr>
        <w:t>)</w:t>
      </w:r>
      <w:r>
        <w:rPr>
          <w:rFonts w:hint="eastAsia"/>
        </w:rPr>
        <w:t>。</w:t>
      </w:r>
    </w:p>
    <w:p w:rsidR="00000000" w:rsidRDefault="00000000">
      <w:pPr>
        <w:spacing w:after="240"/>
        <w:sectPr w:rsidR="00000000">
          <w:headerReference w:type="even" r:id="rId7"/>
          <w:headerReference w:type="default" r:id="rId8"/>
          <w:footerReference w:type="default" r:id="rId9"/>
          <w:headerReference w:type="first" r:id="rId10"/>
          <w:footerReference w:type="first" r:id="rId11"/>
          <w:endnotePr>
            <w:numFmt w:val="decimal"/>
          </w:endnotePr>
          <w:pgSz w:w="11907" w:h="16840" w:code="9"/>
          <w:pgMar w:top="1985" w:right="851" w:bottom="1985" w:left="1701" w:header="794" w:footer="1588" w:gutter="0"/>
          <w:cols w:space="425"/>
          <w:titlePg/>
        </w:sectPr>
      </w:pPr>
    </w:p>
    <w:p w:rsidR="00000000" w:rsidRDefault="00000000">
      <w:pPr>
        <w:pStyle w:val="Heading3"/>
        <w:rPr>
          <w:kern w:val="0"/>
        </w:rPr>
      </w:pPr>
      <w:r>
        <w:rPr>
          <w:rFonts w:hint="eastAsia"/>
          <w:kern w:val="0"/>
        </w:rPr>
        <w:t>表</w:t>
      </w:r>
      <w:r>
        <w:rPr>
          <w:rFonts w:hint="eastAsia"/>
          <w:kern w:val="0"/>
        </w:rPr>
        <w:t xml:space="preserve">.  </w:t>
      </w:r>
      <w:r>
        <w:rPr>
          <w:rFonts w:hint="eastAsia"/>
          <w:kern w:val="0"/>
        </w:rPr>
        <w:t>卫生组织指标</w:t>
      </w:r>
      <w:r>
        <w:rPr>
          <w:rFonts w:hint="eastAsia"/>
          <w:kern w:val="0"/>
        </w:rPr>
        <w:t>280101-280106</w:t>
      </w:r>
    </w:p>
    <w:tbl>
      <w:tblP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2215"/>
        <w:gridCol w:w="626"/>
        <w:gridCol w:w="647"/>
        <w:gridCol w:w="647"/>
        <w:gridCol w:w="637"/>
        <w:gridCol w:w="647"/>
        <w:gridCol w:w="637"/>
        <w:gridCol w:w="637"/>
        <w:gridCol w:w="647"/>
        <w:gridCol w:w="637"/>
        <w:gridCol w:w="637"/>
        <w:gridCol w:w="637"/>
        <w:gridCol w:w="647"/>
        <w:gridCol w:w="637"/>
        <w:gridCol w:w="647"/>
        <w:gridCol w:w="641"/>
        <w:gridCol w:w="616"/>
      </w:tblGrid>
      <w:tr w:rsidR="00000000">
        <w:tblPrEx>
          <w:tblCellMar>
            <w:top w:w="0" w:type="dxa"/>
            <w:bottom w:w="0" w:type="dxa"/>
          </w:tblCellMar>
        </w:tblPrEx>
        <w:tc>
          <w:tcPr>
            <w:tcW w:w="917" w:type="dxa"/>
            <w:tcBorders>
              <w:bottom w:val="nil"/>
            </w:tcBorders>
          </w:tcPr>
          <w:p w:rsidR="00000000" w:rsidRDefault="00000000">
            <w:pPr>
              <w:spacing w:before="120"/>
              <w:jc w:val="center"/>
              <w:rPr>
                <w:rFonts w:hint="eastAsia"/>
                <w:sz w:val="18"/>
              </w:rPr>
            </w:pPr>
            <w:r>
              <w:rPr>
                <w:rFonts w:hint="eastAsia"/>
                <w:sz w:val="18"/>
              </w:rPr>
              <w:t>指</w:t>
            </w:r>
            <w:r>
              <w:rPr>
                <w:sz w:val="18"/>
              </w:rPr>
              <w:t xml:space="preserve"> </w:t>
            </w:r>
            <w:r>
              <w:rPr>
                <w:rFonts w:hint="eastAsia"/>
                <w:sz w:val="18"/>
              </w:rPr>
              <w:t>标</w:t>
            </w:r>
          </w:p>
        </w:tc>
        <w:tc>
          <w:tcPr>
            <w:tcW w:w="2215" w:type="dxa"/>
          </w:tcPr>
          <w:p w:rsidR="00000000" w:rsidRDefault="00000000">
            <w:pPr>
              <w:spacing w:before="120"/>
              <w:jc w:val="center"/>
              <w:rPr>
                <w:rFonts w:hint="eastAsia"/>
                <w:sz w:val="18"/>
              </w:rPr>
            </w:pPr>
            <w:r>
              <w:rPr>
                <w:rFonts w:hint="eastAsia"/>
                <w:sz w:val="18"/>
              </w:rPr>
              <w:t>名</w:t>
            </w:r>
            <w:r>
              <w:rPr>
                <w:sz w:val="18"/>
              </w:rPr>
              <w:t xml:space="preserve">  </w:t>
            </w:r>
            <w:r>
              <w:rPr>
                <w:rFonts w:hint="eastAsia"/>
                <w:sz w:val="18"/>
              </w:rPr>
              <w:t>称</w:t>
            </w:r>
          </w:p>
        </w:tc>
        <w:tc>
          <w:tcPr>
            <w:tcW w:w="626" w:type="dxa"/>
            <w:tcBorders>
              <w:bottom w:val="nil"/>
            </w:tcBorders>
          </w:tcPr>
          <w:p w:rsidR="00000000" w:rsidRDefault="00000000">
            <w:pPr>
              <w:spacing w:before="120"/>
              <w:jc w:val="center"/>
              <w:rPr>
                <w:rFonts w:hint="eastAsia"/>
                <w:sz w:val="18"/>
              </w:rPr>
            </w:pPr>
          </w:p>
        </w:tc>
        <w:tc>
          <w:tcPr>
            <w:tcW w:w="647" w:type="dxa"/>
            <w:tcBorders>
              <w:bottom w:val="nil"/>
            </w:tcBorders>
          </w:tcPr>
          <w:p w:rsidR="00000000" w:rsidRDefault="00000000">
            <w:pPr>
              <w:spacing w:before="120"/>
              <w:jc w:val="center"/>
              <w:rPr>
                <w:rFonts w:hint="eastAsia"/>
                <w:sz w:val="18"/>
              </w:rPr>
            </w:pPr>
          </w:p>
        </w:tc>
        <w:tc>
          <w:tcPr>
            <w:tcW w:w="647" w:type="dxa"/>
            <w:tcBorders>
              <w:bottom w:val="nil"/>
            </w:tcBorders>
          </w:tcPr>
          <w:p w:rsidR="00000000" w:rsidRDefault="00000000">
            <w:pPr>
              <w:spacing w:before="120"/>
              <w:jc w:val="center"/>
              <w:rPr>
                <w:rFonts w:hint="eastAsia"/>
                <w:sz w:val="18"/>
              </w:rPr>
            </w:pPr>
          </w:p>
        </w:tc>
        <w:tc>
          <w:tcPr>
            <w:tcW w:w="637" w:type="dxa"/>
            <w:tcBorders>
              <w:bottom w:val="nil"/>
            </w:tcBorders>
          </w:tcPr>
          <w:p w:rsidR="00000000" w:rsidRDefault="00000000">
            <w:pPr>
              <w:spacing w:before="120"/>
              <w:jc w:val="center"/>
              <w:rPr>
                <w:rFonts w:hint="eastAsia"/>
                <w:sz w:val="18"/>
              </w:rPr>
            </w:pPr>
          </w:p>
        </w:tc>
        <w:tc>
          <w:tcPr>
            <w:tcW w:w="647" w:type="dxa"/>
            <w:tcBorders>
              <w:bottom w:val="nil"/>
            </w:tcBorders>
          </w:tcPr>
          <w:p w:rsidR="00000000" w:rsidRDefault="00000000">
            <w:pPr>
              <w:spacing w:before="120"/>
              <w:jc w:val="center"/>
              <w:rPr>
                <w:rFonts w:hint="eastAsia"/>
                <w:sz w:val="18"/>
              </w:rPr>
            </w:pPr>
          </w:p>
        </w:tc>
        <w:tc>
          <w:tcPr>
            <w:tcW w:w="637" w:type="dxa"/>
            <w:tcBorders>
              <w:bottom w:val="nil"/>
            </w:tcBorders>
          </w:tcPr>
          <w:p w:rsidR="00000000" w:rsidRDefault="00000000">
            <w:pPr>
              <w:spacing w:before="120"/>
              <w:jc w:val="center"/>
              <w:rPr>
                <w:rFonts w:hint="eastAsia"/>
                <w:sz w:val="18"/>
              </w:rPr>
            </w:pPr>
          </w:p>
        </w:tc>
        <w:tc>
          <w:tcPr>
            <w:tcW w:w="637" w:type="dxa"/>
            <w:tcBorders>
              <w:bottom w:val="nil"/>
            </w:tcBorders>
          </w:tcPr>
          <w:p w:rsidR="00000000" w:rsidRDefault="00000000">
            <w:pPr>
              <w:spacing w:before="120"/>
              <w:jc w:val="center"/>
              <w:rPr>
                <w:rFonts w:hint="eastAsia"/>
                <w:sz w:val="18"/>
              </w:rPr>
            </w:pPr>
          </w:p>
        </w:tc>
        <w:tc>
          <w:tcPr>
            <w:tcW w:w="647" w:type="dxa"/>
            <w:tcBorders>
              <w:bottom w:val="nil"/>
            </w:tcBorders>
          </w:tcPr>
          <w:p w:rsidR="00000000" w:rsidRDefault="00000000">
            <w:pPr>
              <w:spacing w:before="120"/>
              <w:jc w:val="center"/>
              <w:rPr>
                <w:rFonts w:hint="eastAsia"/>
                <w:sz w:val="18"/>
              </w:rPr>
            </w:pPr>
          </w:p>
        </w:tc>
        <w:tc>
          <w:tcPr>
            <w:tcW w:w="637" w:type="dxa"/>
            <w:tcBorders>
              <w:bottom w:val="nil"/>
            </w:tcBorders>
          </w:tcPr>
          <w:p w:rsidR="00000000" w:rsidRDefault="00000000">
            <w:pPr>
              <w:spacing w:before="120"/>
              <w:jc w:val="center"/>
              <w:rPr>
                <w:rFonts w:hint="eastAsia"/>
                <w:sz w:val="18"/>
              </w:rPr>
            </w:pPr>
          </w:p>
        </w:tc>
        <w:tc>
          <w:tcPr>
            <w:tcW w:w="637" w:type="dxa"/>
            <w:tcBorders>
              <w:bottom w:val="nil"/>
            </w:tcBorders>
          </w:tcPr>
          <w:p w:rsidR="00000000" w:rsidRDefault="00000000">
            <w:pPr>
              <w:spacing w:before="120"/>
              <w:jc w:val="center"/>
              <w:rPr>
                <w:rFonts w:hint="eastAsia"/>
                <w:sz w:val="18"/>
              </w:rPr>
            </w:pPr>
          </w:p>
        </w:tc>
        <w:tc>
          <w:tcPr>
            <w:tcW w:w="637" w:type="dxa"/>
            <w:tcBorders>
              <w:bottom w:val="nil"/>
            </w:tcBorders>
          </w:tcPr>
          <w:p w:rsidR="00000000" w:rsidRDefault="00000000">
            <w:pPr>
              <w:spacing w:before="120"/>
              <w:jc w:val="center"/>
              <w:rPr>
                <w:rFonts w:hint="eastAsia"/>
                <w:sz w:val="18"/>
              </w:rPr>
            </w:pPr>
          </w:p>
        </w:tc>
        <w:tc>
          <w:tcPr>
            <w:tcW w:w="647" w:type="dxa"/>
            <w:tcBorders>
              <w:bottom w:val="nil"/>
            </w:tcBorders>
          </w:tcPr>
          <w:p w:rsidR="00000000" w:rsidRDefault="00000000">
            <w:pPr>
              <w:spacing w:before="120"/>
              <w:jc w:val="center"/>
              <w:rPr>
                <w:rFonts w:hint="eastAsia"/>
                <w:sz w:val="18"/>
              </w:rPr>
            </w:pPr>
          </w:p>
        </w:tc>
        <w:tc>
          <w:tcPr>
            <w:tcW w:w="637" w:type="dxa"/>
            <w:tcBorders>
              <w:bottom w:val="nil"/>
            </w:tcBorders>
          </w:tcPr>
          <w:p w:rsidR="00000000" w:rsidRDefault="00000000">
            <w:pPr>
              <w:spacing w:before="120"/>
              <w:jc w:val="center"/>
              <w:rPr>
                <w:rFonts w:hint="eastAsia"/>
                <w:sz w:val="18"/>
              </w:rPr>
            </w:pPr>
          </w:p>
        </w:tc>
        <w:tc>
          <w:tcPr>
            <w:tcW w:w="647" w:type="dxa"/>
            <w:tcBorders>
              <w:bottom w:val="nil"/>
            </w:tcBorders>
          </w:tcPr>
          <w:p w:rsidR="00000000" w:rsidRDefault="00000000">
            <w:pPr>
              <w:spacing w:before="120"/>
              <w:jc w:val="center"/>
              <w:rPr>
                <w:rFonts w:hint="eastAsia"/>
                <w:sz w:val="18"/>
              </w:rPr>
            </w:pPr>
          </w:p>
        </w:tc>
        <w:tc>
          <w:tcPr>
            <w:tcW w:w="641" w:type="dxa"/>
            <w:tcBorders>
              <w:bottom w:val="nil"/>
            </w:tcBorders>
          </w:tcPr>
          <w:p w:rsidR="00000000" w:rsidRDefault="00000000">
            <w:pPr>
              <w:spacing w:before="120"/>
              <w:jc w:val="center"/>
              <w:rPr>
                <w:rFonts w:hint="eastAsia"/>
                <w:sz w:val="18"/>
              </w:rPr>
            </w:pPr>
          </w:p>
        </w:tc>
        <w:tc>
          <w:tcPr>
            <w:tcW w:w="616" w:type="dxa"/>
            <w:tcBorders>
              <w:bottom w:val="nil"/>
            </w:tcBorders>
          </w:tcPr>
          <w:p w:rsidR="00000000" w:rsidRDefault="00000000">
            <w:pPr>
              <w:spacing w:before="120"/>
              <w:jc w:val="center"/>
              <w:rPr>
                <w:rFonts w:hint="eastAsia"/>
                <w:sz w:val="18"/>
              </w:rPr>
            </w:pPr>
          </w:p>
        </w:tc>
      </w:tr>
      <w:tr w:rsidR="00000000">
        <w:tblPrEx>
          <w:tblCellMar>
            <w:top w:w="0" w:type="dxa"/>
            <w:bottom w:w="0" w:type="dxa"/>
          </w:tblCellMar>
        </w:tblPrEx>
        <w:tc>
          <w:tcPr>
            <w:tcW w:w="917" w:type="dxa"/>
            <w:tcBorders>
              <w:top w:val="nil"/>
            </w:tcBorders>
          </w:tcPr>
          <w:p w:rsidR="00000000" w:rsidRDefault="00000000">
            <w:pPr>
              <w:jc w:val="center"/>
              <w:rPr>
                <w:rFonts w:hint="eastAsia"/>
                <w:sz w:val="18"/>
              </w:rPr>
            </w:pPr>
            <w:r>
              <w:rPr>
                <w:rFonts w:hint="eastAsia"/>
                <w:sz w:val="18"/>
              </w:rPr>
              <w:t>%</w:t>
            </w:r>
          </w:p>
        </w:tc>
        <w:tc>
          <w:tcPr>
            <w:tcW w:w="2215" w:type="dxa"/>
          </w:tcPr>
          <w:p w:rsidR="00000000" w:rsidRDefault="00000000">
            <w:pPr>
              <w:spacing w:before="120"/>
              <w:jc w:val="center"/>
              <w:rPr>
                <w:rFonts w:hint="eastAsia"/>
                <w:sz w:val="18"/>
              </w:rPr>
            </w:pPr>
            <w:r>
              <w:rPr>
                <w:rFonts w:hint="eastAsia"/>
                <w:sz w:val="18"/>
              </w:rPr>
              <w:t>儿童接种率</w:t>
            </w:r>
            <w:r>
              <w:rPr>
                <w:sz w:val="18"/>
              </w:rPr>
              <w:br/>
            </w:r>
            <w:r>
              <w:rPr>
                <w:rFonts w:hint="eastAsia"/>
                <w:sz w:val="18"/>
              </w:rPr>
              <w:t>预防的程度</w:t>
            </w:r>
          </w:p>
        </w:tc>
        <w:tc>
          <w:tcPr>
            <w:tcW w:w="626" w:type="dxa"/>
            <w:tcBorders>
              <w:top w:val="nil"/>
            </w:tcBorders>
          </w:tcPr>
          <w:p w:rsidR="00000000" w:rsidRDefault="00000000">
            <w:pPr>
              <w:jc w:val="center"/>
              <w:rPr>
                <w:rFonts w:hint="eastAsia"/>
                <w:sz w:val="18"/>
              </w:rPr>
            </w:pPr>
            <w:r>
              <w:rPr>
                <w:rFonts w:hint="eastAsia"/>
                <w:sz w:val="18"/>
              </w:rPr>
              <w:t>1980</w:t>
            </w:r>
          </w:p>
        </w:tc>
        <w:tc>
          <w:tcPr>
            <w:tcW w:w="647" w:type="dxa"/>
            <w:tcBorders>
              <w:top w:val="nil"/>
            </w:tcBorders>
          </w:tcPr>
          <w:p w:rsidR="00000000" w:rsidRDefault="00000000">
            <w:pPr>
              <w:jc w:val="center"/>
              <w:rPr>
                <w:rFonts w:hint="eastAsia"/>
                <w:sz w:val="18"/>
              </w:rPr>
            </w:pPr>
            <w:r>
              <w:rPr>
                <w:rFonts w:hint="eastAsia"/>
                <w:sz w:val="18"/>
              </w:rPr>
              <w:t>1981</w:t>
            </w:r>
          </w:p>
        </w:tc>
        <w:tc>
          <w:tcPr>
            <w:tcW w:w="647" w:type="dxa"/>
            <w:tcBorders>
              <w:top w:val="nil"/>
            </w:tcBorders>
          </w:tcPr>
          <w:p w:rsidR="00000000" w:rsidRDefault="00000000">
            <w:pPr>
              <w:jc w:val="center"/>
              <w:rPr>
                <w:rFonts w:hint="eastAsia"/>
                <w:sz w:val="18"/>
              </w:rPr>
            </w:pPr>
            <w:r>
              <w:rPr>
                <w:rFonts w:hint="eastAsia"/>
                <w:sz w:val="18"/>
              </w:rPr>
              <w:t>1982</w:t>
            </w:r>
          </w:p>
        </w:tc>
        <w:tc>
          <w:tcPr>
            <w:tcW w:w="637" w:type="dxa"/>
            <w:tcBorders>
              <w:top w:val="nil"/>
            </w:tcBorders>
          </w:tcPr>
          <w:p w:rsidR="00000000" w:rsidRDefault="00000000">
            <w:pPr>
              <w:jc w:val="center"/>
              <w:rPr>
                <w:rFonts w:hint="eastAsia"/>
                <w:sz w:val="18"/>
              </w:rPr>
            </w:pPr>
            <w:r>
              <w:rPr>
                <w:rFonts w:hint="eastAsia"/>
                <w:sz w:val="18"/>
              </w:rPr>
              <w:t>1983</w:t>
            </w:r>
          </w:p>
        </w:tc>
        <w:tc>
          <w:tcPr>
            <w:tcW w:w="647" w:type="dxa"/>
            <w:tcBorders>
              <w:top w:val="nil"/>
            </w:tcBorders>
          </w:tcPr>
          <w:p w:rsidR="00000000" w:rsidRDefault="00000000">
            <w:pPr>
              <w:jc w:val="center"/>
              <w:rPr>
                <w:rFonts w:hint="eastAsia"/>
                <w:sz w:val="18"/>
              </w:rPr>
            </w:pPr>
            <w:r>
              <w:rPr>
                <w:rFonts w:hint="eastAsia"/>
                <w:sz w:val="18"/>
              </w:rPr>
              <w:t>1984</w:t>
            </w:r>
          </w:p>
        </w:tc>
        <w:tc>
          <w:tcPr>
            <w:tcW w:w="637" w:type="dxa"/>
            <w:tcBorders>
              <w:top w:val="nil"/>
            </w:tcBorders>
          </w:tcPr>
          <w:p w:rsidR="00000000" w:rsidRDefault="00000000">
            <w:pPr>
              <w:jc w:val="center"/>
              <w:rPr>
                <w:rFonts w:hint="eastAsia"/>
                <w:sz w:val="18"/>
              </w:rPr>
            </w:pPr>
            <w:r>
              <w:rPr>
                <w:rFonts w:hint="eastAsia"/>
                <w:sz w:val="18"/>
              </w:rPr>
              <w:t>1985</w:t>
            </w:r>
          </w:p>
        </w:tc>
        <w:tc>
          <w:tcPr>
            <w:tcW w:w="637" w:type="dxa"/>
            <w:tcBorders>
              <w:top w:val="nil"/>
            </w:tcBorders>
          </w:tcPr>
          <w:p w:rsidR="00000000" w:rsidRDefault="00000000">
            <w:pPr>
              <w:jc w:val="center"/>
              <w:rPr>
                <w:rFonts w:hint="eastAsia"/>
                <w:sz w:val="18"/>
              </w:rPr>
            </w:pPr>
            <w:r>
              <w:rPr>
                <w:rFonts w:hint="eastAsia"/>
                <w:sz w:val="18"/>
              </w:rPr>
              <w:t>1986</w:t>
            </w:r>
          </w:p>
        </w:tc>
        <w:tc>
          <w:tcPr>
            <w:tcW w:w="647" w:type="dxa"/>
            <w:tcBorders>
              <w:top w:val="nil"/>
            </w:tcBorders>
          </w:tcPr>
          <w:p w:rsidR="00000000" w:rsidRDefault="00000000">
            <w:pPr>
              <w:jc w:val="center"/>
              <w:rPr>
                <w:rFonts w:hint="eastAsia"/>
                <w:sz w:val="18"/>
              </w:rPr>
            </w:pPr>
            <w:r>
              <w:rPr>
                <w:rFonts w:hint="eastAsia"/>
                <w:sz w:val="18"/>
              </w:rPr>
              <w:t>1987</w:t>
            </w:r>
          </w:p>
        </w:tc>
        <w:tc>
          <w:tcPr>
            <w:tcW w:w="637" w:type="dxa"/>
            <w:tcBorders>
              <w:top w:val="nil"/>
            </w:tcBorders>
          </w:tcPr>
          <w:p w:rsidR="00000000" w:rsidRDefault="00000000">
            <w:pPr>
              <w:jc w:val="center"/>
              <w:rPr>
                <w:rFonts w:hint="eastAsia"/>
                <w:sz w:val="18"/>
              </w:rPr>
            </w:pPr>
            <w:r>
              <w:rPr>
                <w:rFonts w:hint="eastAsia"/>
                <w:sz w:val="18"/>
              </w:rPr>
              <w:t>1988</w:t>
            </w:r>
          </w:p>
        </w:tc>
        <w:tc>
          <w:tcPr>
            <w:tcW w:w="637" w:type="dxa"/>
            <w:tcBorders>
              <w:top w:val="nil"/>
            </w:tcBorders>
          </w:tcPr>
          <w:p w:rsidR="00000000" w:rsidRDefault="00000000">
            <w:pPr>
              <w:jc w:val="center"/>
              <w:rPr>
                <w:rFonts w:hint="eastAsia"/>
                <w:sz w:val="18"/>
              </w:rPr>
            </w:pPr>
            <w:r>
              <w:rPr>
                <w:rFonts w:hint="eastAsia"/>
                <w:sz w:val="18"/>
              </w:rPr>
              <w:t>1989</w:t>
            </w:r>
          </w:p>
        </w:tc>
        <w:tc>
          <w:tcPr>
            <w:tcW w:w="637" w:type="dxa"/>
            <w:tcBorders>
              <w:top w:val="nil"/>
            </w:tcBorders>
          </w:tcPr>
          <w:p w:rsidR="00000000" w:rsidRDefault="00000000">
            <w:pPr>
              <w:jc w:val="center"/>
              <w:rPr>
                <w:rFonts w:hint="eastAsia"/>
                <w:sz w:val="18"/>
              </w:rPr>
            </w:pPr>
            <w:r>
              <w:rPr>
                <w:rFonts w:hint="eastAsia"/>
                <w:sz w:val="18"/>
              </w:rPr>
              <w:t>1990</w:t>
            </w:r>
          </w:p>
        </w:tc>
        <w:tc>
          <w:tcPr>
            <w:tcW w:w="647" w:type="dxa"/>
            <w:tcBorders>
              <w:top w:val="nil"/>
            </w:tcBorders>
          </w:tcPr>
          <w:p w:rsidR="00000000" w:rsidRDefault="00000000">
            <w:pPr>
              <w:jc w:val="center"/>
              <w:rPr>
                <w:rFonts w:hint="eastAsia"/>
                <w:sz w:val="18"/>
              </w:rPr>
            </w:pPr>
            <w:r>
              <w:rPr>
                <w:rFonts w:hint="eastAsia"/>
                <w:sz w:val="18"/>
              </w:rPr>
              <w:t>1991</w:t>
            </w:r>
          </w:p>
        </w:tc>
        <w:tc>
          <w:tcPr>
            <w:tcW w:w="637" w:type="dxa"/>
            <w:tcBorders>
              <w:top w:val="nil"/>
            </w:tcBorders>
          </w:tcPr>
          <w:p w:rsidR="00000000" w:rsidRDefault="00000000">
            <w:pPr>
              <w:jc w:val="center"/>
              <w:rPr>
                <w:rFonts w:hint="eastAsia"/>
                <w:sz w:val="18"/>
              </w:rPr>
            </w:pPr>
            <w:r>
              <w:rPr>
                <w:rFonts w:hint="eastAsia"/>
                <w:sz w:val="18"/>
              </w:rPr>
              <w:t>1992</w:t>
            </w:r>
          </w:p>
        </w:tc>
        <w:tc>
          <w:tcPr>
            <w:tcW w:w="647" w:type="dxa"/>
            <w:tcBorders>
              <w:top w:val="nil"/>
            </w:tcBorders>
          </w:tcPr>
          <w:p w:rsidR="00000000" w:rsidRDefault="00000000">
            <w:pPr>
              <w:jc w:val="center"/>
              <w:rPr>
                <w:rFonts w:hint="eastAsia"/>
                <w:sz w:val="18"/>
              </w:rPr>
            </w:pPr>
            <w:r>
              <w:rPr>
                <w:rFonts w:hint="eastAsia"/>
                <w:sz w:val="18"/>
              </w:rPr>
              <w:t>1993</w:t>
            </w:r>
          </w:p>
        </w:tc>
        <w:tc>
          <w:tcPr>
            <w:tcW w:w="641" w:type="dxa"/>
            <w:tcBorders>
              <w:top w:val="nil"/>
            </w:tcBorders>
          </w:tcPr>
          <w:p w:rsidR="00000000" w:rsidRDefault="00000000">
            <w:pPr>
              <w:jc w:val="center"/>
              <w:rPr>
                <w:rFonts w:hint="eastAsia"/>
                <w:sz w:val="18"/>
              </w:rPr>
            </w:pPr>
            <w:r>
              <w:rPr>
                <w:rFonts w:hint="eastAsia"/>
                <w:sz w:val="18"/>
              </w:rPr>
              <w:t>1994</w:t>
            </w:r>
          </w:p>
        </w:tc>
        <w:tc>
          <w:tcPr>
            <w:tcW w:w="616" w:type="dxa"/>
            <w:tcBorders>
              <w:top w:val="nil"/>
            </w:tcBorders>
          </w:tcPr>
          <w:p w:rsidR="00000000" w:rsidRDefault="00000000">
            <w:pPr>
              <w:jc w:val="center"/>
              <w:rPr>
                <w:rFonts w:hint="eastAsia"/>
                <w:sz w:val="18"/>
              </w:rPr>
            </w:pPr>
            <w:r>
              <w:rPr>
                <w:rFonts w:hint="eastAsia"/>
                <w:sz w:val="18"/>
              </w:rPr>
              <w:t>1995</w:t>
            </w:r>
          </w:p>
        </w:tc>
      </w:tr>
      <w:tr w:rsidR="00000000">
        <w:tblPrEx>
          <w:tblCellMar>
            <w:top w:w="0" w:type="dxa"/>
            <w:bottom w:w="0" w:type="dxa"/>
          </w:tblCellMar>
        </w:tblPrEx>
        <w:tc>
          <w:tcPr>
            <w:tcW w:w="917" w:type="dxa"/>
          </w:tcPr>
          <w:p w:rsidR="00000000" w:rsidRDefault="00000000">
            <w:pPr>
              <w:spacing w:before="120"/>
              <w:rPr>
                <w:sz w:val="18"/>
              </w:rPr>
            </w:pPr>
            <w:r>
              <w:rPr>
                <w:sz w:val="18"/>
              </w:rPr>
              <w:t>#280101</w:t>
            </w:r>
          </w:p>
        </w:tc>
        <w:tc>
          <w:tcPr>
            <w:tcW w:w="2215"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56"/>
              <w:rPr>
                <w:sz w:val="22"/>
                <w:szCs w:val="22"/>
                <w:lang w:val="en-GB"/>
              </w:rPr>
            </w:pPr>
            <w:r>
              <w:rPr>
                <w:sz w:val="22"/>
                <w:szCs w:val="22"/>
                <w:lang w:val="en-GB"/>
              </w:rPr>
              <w:t xml:space="preserve">  diphtheria</w:t>
            </w:r>
          </w:p>
        </w:tc>
        <w:tc>
          <w:tcPr>
            <w:tcW w:w="626" w:type="dxa"/>
          </w:tcPr>
          <w:p w:rsidR="00000000" w:rsidRDefault="00000000">
            <w:pPr>
              <w:spacing w:before="120"/>
              <w:rPr>
                <w:sz w:val="18"/>
              </w:rPr>
            </w:pPr>
            <w:r>
              <w:rPr>
                <w:sz w:val="18"/>
              </w:rPr>
              <w:t>83</w:t>
            </w:r>
          </w:p>
        </w:tc>
        <w:tc>
          <w:tcPr>
            <w:tcW w:w="647" w:type="dxa"/>
          </w:tcPr>
          <w:p w:rsidR="00000000" w:rsidRDefault="00000000">
            <w:pPr>
              <w:spacing w:before="120"/>
              <w:rPr>
                <w:sz w:val="18"/>
              </w:rPr>
            </w:pPr>
            <w:r>
              <w:rPr>
                <w:sz w:val="18"/>
              </w:rPr>
              <w:t>81.1</w:t>
            </w:r>
          </w:p>
        </w:tc>
        <w:tc>
          <w:tcPr>
            <w:tcW w:w="647" w:type="dxa"/>
          </w:tcPr>
          <w:p w:rsidR="00000000" w:rsidRDefault="00000000">
            <w:pPr>
              <w:spacing w:before="120"/>
              <w:rPr>
                <w:sz w:val="18"/>
              </w:rPr>
            </w:pPr>
            <w:r>
              <w:rPr>
                <w:sz w:val="18"/>
              </w:rPr>
              <w:t>82.8</w:t>
            </w:r>
          </w:p>
        </w:tc>
        <w:tc>
          <w:tcPr>
            <w:tcW w:w="637" w:type="dxa"/>
          </w:tcPr>
          <w:p w:rsidR="00000000" w:rsidRDefault="00000000">
            <w:pPr>
              <w:spacing w:before="120"/>
              <w:rPr>
                <w:sz w:val="18"/>
              </w:rPr>
            </w:pPr>
            <w:r>
              <w:rPr>
                <w:sz w:val="18"/>
              </w:rPr>
              <w:t>82.8</w:t>
            </w:r>
          </w:p>
        </w:tc>
        <w:tc>
          <w:tcPr>
            <w:tcW w:w="647" w:type="dxa"/>
          </w:tcPr>
          <w:p w:rsidR="00000000" w:rsidRDefault="00000000">
            <w:pPr>
              <w:spacing w:before="120"/>
              <w:rPr>
                <w:sz w:val="18"/>
              </w:rPr>
            </w:pPr>
            <w:r>
              <w:rPr>
                <w:sz w:val="18"/>
              </w:rPr>
              <w:t>81.7</w:t>
            </w:r>
          </w:p>
        </w:tc>
        <w:tc>
          <w:tcPr>
            <w:tcW w:w="637" w:type="dxa"/>
          </w:tcPr>
          <w:p w:rsidR="00000000" w:rsidRDefault="00000000">
            <w:pPr>
              <w:spacing w:before="120"/>
              <w:rPr>
                <w:sz w:val="18"/>
              </w:rPr>
            </w:pPr>
            <w:r>
              <w:rPr>
                <w:sz w:val="18"/>
              </w:rPr>
              <w:t>81.1</w:t>
            </w:r>
          </w:p>
        </w:tc>
        <w:tc>
          <w:tcPr>
            <w:tcW w:w="637" w:type="dxa"/>
          </w:tcPr>
          <w:p w:rsidR="00000000" w:rsidRDefault="00000000">
            <w:pPr>
              <w:spacing w:before="120"/>
              <w:rPr>
                <w:sz w:val="18"/>
              </w:rPr>
            </w:pPr>
            <w:r>
              <w:rPr>
                <w:sz w:val="18"/>
              </w:rPr>
              <w:t>81.5</w:t>
            </w:r>
          </w:p>
        </w:tc>
        <w:tc>
          <w:tcPr>
            <w:tcW w:w="647" w:type="dxa"/>
          </w:tcPr>
          <w:p w:rsidR="00000000" w:rsidRDefault="00000000">
            <w:pPr>
              <w:spacing w:before="120"/>
              <w:rPr>
                <w:sz w:val="18"/>
              </w:rPr>
            </w:pPr>
            <w:r>
              <w:rPr>
                <w:sz w:val="18"/>
              </w:rPr>
              <w:t>80.7</w:t>
            </w:r>
          </w:p>
        </w:tc>
        <w:tc>
          <w:tcPr>
            <w:tcW w:w="637" w:type="dxa"/>
          </w:tcPr>
          <w:p w:rsidR="00000000" w:rsidRDefault="00000000">
            <w:pPr>
              <w:spacing w:before="120"/>
              <w:rPr>
                <w:sz w:val="18"/>
              </w:rPr>
            </w:pPr>
            <w:r>
              <w:rPr>
                <w:sz w:val="18"/>
              </w:rPr>
              <w:t>83.7</w:t>
            </w:r>
          </w:p>
        </w:tc>
        <w:tc>
          <w:tcPr>
            <w:tcW w:w="637" w:type="dxa"/>
          </w:tcPr>
          <w:p w:rsidR="00000000" w:rsidRDefault="00000000">
            <w:pPr>
              <w:spacing w:before="120"/>
              <w:rPr>
                <w:sz w:val="18"/>
              </w:rPr>
            </w:pPr>
            <w:r>
              <w:rPr>
                <w:sz w:val="18"/>
              </w:rPr>
              <w:t>86.4</w:t>
            </w:r>
          </w:p>
        </w:tc>
        <w:tc>
          <w:tcPr>
            <w:tcW w:w="637" w:type="dxa"/>
          </w:tcPr>
          <w:p w:rsidR="00000000" w:rsidRDefault="00000000">
            <w:pPr>
              <w:spacing w:before="120"/>
              <w:rPr>
                <w:sz w:val="18"/>
              </w:rPr>
            </w:pPr>
            <w:r>
              <w:rPr>
                <w:sz w:val="18"/>
              </w:rPr>
              <w:t>87.9</w:t>
            </w:r>
          </w:p>
        </w:tc>
        <w:tc>
          <w:tcPr>
            <w:tcW w:w="647" w:type="dxa"/>
          </w:tcPr>
          <w:p w:rsidR="00000000" w:rsidRDefault="00000000">
            <w:pPr>
              <w:spacing w:before="120"/>
              <w:jc w:val="center"/>
              <w:rPr>
                <w:sz w:val="18"/>
              </w:rPr>
            </w:pPr>
            <w:r>
              <w:rPr>
                <w:sz w:val="18"/>
              </w:rPr>
              <w:t>85</w:t>
            </w:r>
          </w:p>
        </w:tc>
        <w:tc>
          <w:tcPr>
            <w:tcW w:w="637" w:type="dxa"/>
          </w:tcPr>
          <w:p w:rsidR="00000000" w:rsidRDefault="00000000">
            <w:pPr>
              <w:spacing w:before="120"/>
              <w:jc w:val="center"/>
              <w:rPr>
                <w:sz w:val="18"/>
              </w:rPr>
            </w:pPr>
            <w:r>
              <w:rPr>
                <w:sz w:val="18"/>
              </w:rPr>
              <w:t>83</w:t>
            </w:r>
          </w:p>
        </w:tc>
        <w:tc>
          <w:tcPr>
            <w:tcW w:w="647" w:type="dxa"/>
          </w:tcPr>
          <w:p w:rsidR="00000000" w:rsidRDefault="00000000">
            <w:pPr>
              <w:spacing w:before="120"/>
              <w:jc w:val="center"/>
              <w:rPr>
                <w:sz w:val="18"/>
              </w:rPr>
            </w:pPr>
            <w:r>
              <w:rPr>
                <w:sz w:val="18"/>
              </w:rPr>
              <w:t>85</w:t>
            </w:r>
          </w:p>
        </w:tc>
        <w:tc>
          <w:tcPr>
            <w:tcW w:w="641" w:type="dxa"/>
          </w:tcPr>
          <w:p w:rsidR="00000000" w:rsidRDefault="00000000">
            <w:pPr>
              <w:spacing w:before="120"/>
              <w:jc w:val="center"/>
              <w:rPr>
                <w:sz w:val="18"/>
              </w:rPr>
            </w:pPr>
            <w:r>
              <w:rPr>
                <w:sz w:val="18"/>
              </w:rPr>
              <w:t>87</w:t>
            </w:r>
          </w:p>
        </w:tc>
        <w:tc>
          <w:tcPr>
            <w:tcW w:w="616" w:type="dxa"/>
          </w:tcPr>
          <w:p w:rsidR="00000000" w:rsidRDefault="00000000">
            <w:pPr>
              <w:spacing w:before="120"/>
              <w:jc w:val="center"/>
              <w:rPr>
                <w:sz w:val="18"/>
              </w:rPr>
            </w:pPr>
            <w:r>
              <w:rPr>
                <w:sz w:val="18"/>
              </w:rPr>
              <w:t>90</w:t>
            </w:r>
          </w:p>
        </w:tc>
      </w:tr>
      <w:tr w:rsidR="00000000">
        <w:tblPrEx>
          <w:tblCellMar>
            <w:top w:w="0" w:type="dxa"/>
            <w:bottom w:w="0" w:type="dxa"/>
          </w:tblCellMar>
        </w:tblPrEx>
        <w:tc>
          <w:tcPr>
            <w:tcW w:w="917" w:type="dxa"/>
          </w:tcPr>
          <w:p w:rsidR="00000000" w:rsidRDefault="00000000">
            <w:pPr>
              <w:spacing w:before="120"/>
              <w:rPr>
                <w:sz w:val="18"/>
              </w:rPr>
            </w:pPr>
            <w:r>
              <w:rPr>
                <w:sz w:val="18"/>
              </w:rPr>
              <w:t>#280102</w:t>
            </w:r>
          </w:p>
        </w:tc>
        <w:tc>
          <w:tcPr>
            <w:tcW w:w="2215"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56"/>
              <w:rPr>
                <w:sz w:val="22"/>
                <w:szCs w:val="22"/>
                <w:lang w:val="en-GB"/>
              </w:rPr>
            </w:pPr>
            <w:r>
              <w:rPr>
                <w:sz w:val="22"/>
                <w:szCs w:val="22"/>
                <w:lang w:val="en-GB"/>
              </w:rPr>
              <w:t xml:space="preserve">  tetanus</w:t>
            </w:r>
          </w:p>
        </w:tc>
        <w:tc>
          <w:tcPr>
            <w:tcW w:w="626" w:type="dxa"/>
          </w:tcPr>
          <w:p w:rsidR="00000000" w:rsidRDefault="00000000">
            <w:pPr>
              <w:spacing w:before="120"/>
              <w:rPr>
                <w:sz w:val="18"/>
              </w:rPr>
            </w:pPr>
            <w:r>
              <w:rPr>
                <w:sz w:val="18"/>
              </w:rPr>
              <w:t>83</w:t>
            </w:r>
          </w:p>
        </w:tc>
        <w:tc>
          <w:tcPr>
            <w:tcW w:w="647" w:type="dxa"/>
          </w:tcPr>
          <w:p w:rsidR="00000000" w:rsidRDefault="00000000">
            <w:pPr>
              <w:spacing w:before="120"/>
              <w:rPr>
                <w:sz w:val="18"/>
              </w:rPr>
            </w:pPr>
            <w:r>
              <w:rPr>
                <w:sz w:val="18"/>
              </w:rPr>
              <w:t>81.1</w:t>
            </w:r>
          </w:p>
        </w:tc>
        <w:tc>
          <w:tcPr>
            <w:tcW w:w="647" w:type="dxa"/>
          </w:tcPr>
          <w:p w:rsidR="00000000" w:rsidRDefault="00000000">
            <w:pPr>
              <w:spacing w:before="120"/>
              <w:rPr>
                <w:sz w:val="18"/>
              </w:rPr>
            </w:pPr>
            <w:r>
              <w:rPr>
                <w:sz w:val="18"/>
              </w:rPr>
              <w:t>82.8</w:t>
            </w:r>
          </w:p>
        </w:tc>
        <w:tc>
          <w:tcPr>
            <w:tcW w:w="637" w:type="dxa"/>
          </w:tcPr>
          <w:p w:rsidR="00000000" w:rsidRDefault="00000000">
            <w:pPr>
              <w:spacing w:before="120"/>
              <w:rPr>
                <w:sz w:val="18"/>
              </w:rPr>
            </w:pPr>
            <w:r>
              <w:rPr>
                <w:sz w:val="18"/>
              </w:rPr>
              <w:t>82.8</w:t>
            </w:r>
          </w:p>
        </w:tc>
        <w:tc>
          <w:tcPr>
            <w:tcW w:w="647" w:type="dxa"/>
          </w:tcPr>
          <w:p w:rsidR="00000000" w:rsidRDefault="00000000">
            <w:pPr>
              <w:spacing w:before="120"/>
              <w:rPr>
                <w:sz w:val="18"/>
              </w:rPr>
            </w:pPr>
            <w:r>
              <w:rPr>
                <w:sz w:val="18"/>
              </w:rPr>
              <w:t>81.7</w:t>
            </w:r>
          </w:p>
        </w:tc>
        <w:tc>
          <w:tcPr>
            <w:tcW w:w="637" w:type="dxa"/>
          </w:tcPr>
          <w:p w:rsidR="00000000" w:rsidRDefault="00000000">
            <w:pPr>
              <w:spacing w:before="120"/>
              <w:rPr>
                <w:sz w:val="18"/>
              </w:rPr>
            </w:pPr>
            <w:r>
              <w:rPr>
                <w:sz w:val="18"/>
              </w:rPr>
              <w:t>81.1</w:t>
            </w:r>
          </w:p>
        </w:tc>
        <w:tc>
          <w:tcPr>
            <w:tcW w:w="637" w:type="dxa"/>
          </w:tcPr>
          <w:p w:rsidR="00000000" w:rsidRDefault="00000000">
            <w:pPr>
              <w:spacing w:before="120"/>
              <w:rPr>
                <w:sz w:val="18"/>
              </w:rPr>
            </w:pPr>
            <w:r>
              <w:rPr>
                <w:sz w:val="18"/>
              </w:rPr>
              <w:t>81.5</w:t>
            </w:r>
          </w:p>
        </w:tc>
        <w:tc>
          <w:tcPr>
            <w:tcW w:w="647" w:type="dxa"/>
          </w:tcPr>
          <w:p w:rsidR="00000000" w:rsidRDefault="00000000">
            <w:pPr>
              <w:spacing w:before="120"/>
              <w:rPr>
                <w:sz w:val="18"/>
              </w:rPr>
            </w:pPr>
            <w:r>
              <w:rPr>
                <w:sz w:val="18"/>
              </w:rPr>
              <w:t>80.7</w:t>
            </w:r>
          </w:p>
        </w:tc>
        <w:tc>
          <w:tcPr>
            <w:tcW w:w="637" w:type="dxa"/>
          </w:tcPr>
          <w:p w:rsidR="00000000" w:rsidRDefault="00000000">
            <w:pPr>
              <w:spacing w:before="120"/>
              <w:rPr>
                <w:sz w:val="18"/>
              </w:rPr>
            </w:pPr>
            <w:r>
              <w:rPr>
                <w:sz w:val="18"/>
              </w:rPr>
              <w:t>83.7</w:t>
            </w:r>
          </w:p>
        </w:tc>
        <w:tc>
          <w:tcPr>
            <w:tcW w:w="637" w:type="dxa"/>
          </w:tcPr>
          <w:p w:rsidR="00000000" w:rsidRDefault="00000000">
            <w:pPr>
              <w:spacing w:before="120"/>
              <w:rPr>
                <w:sz w:val="18"/>
              </w:rPr>
            </w:pPr>
            <w:r>
              <w:rPr>
                <w:sz w:val="18"/>
              </w:rPr>
              <w:t>86.4</w:t>
            </w:r>
          </w:p>
        </w:tc>
        <w:tc>
          <w:tcPr>
            <w:tcW w:w="637" w:type="dxa"/>
          </w:tcPr>
          <w:p w:rsidR="00000000" w:rsidRDefault="00000000">
            <w:pPr>
              <w:spacing w:before="120"/>
              <w:rPr>
                <w:sz w:val="18"/>
              </w:rPr>
            </w:pPr>
            <w:r>
              <w:rPr>
                <w:sz w:val="18"/>
              </w:rPr>
              <w:t>87.9</w:t>
            </w:r>
          </w:p>
        </w:tc>
        <w:tc>
          <w:tcPr>
            <w:tcW w:w="647" w:type="dxa"/>
          </w:tcPr>
          <w:p w:rsidR="00000000" w:rsidRDefault="00000000">
            <w:pPr>
              <w:spacing w:before="120"/>
              <w:jc w:val="center"/>
              <w:rPr>
                <w:sz w:val="18"/>
              </w:rPr>
            </w:pPr>
            <w:r>
              <w:rPr>
                <w:sz w:val="18"/>
              </w:rPr>
              <w:t>85</w:t>
            </w:r>
          </w:p>
        </w:tc>
        <w:tc>
          <w:tcPr>
            <w:tcW w:w="637" w:type="dxa"/>
          </w:tcPr>
          <w:p w:rsidR="00000000" w:rsidRDefault="00000000">
            <w:pPr>
              <w:spacing w:before="120"/>
              <w:jc w:val="center"/>
              <w:rPr>
                <w:sz w:val="18"/>
              </w:rPr>
            </w:pPr>
            <w:r>
              <w:rPr>
                <w:sz w:val="18"/>
              </w:rPr>
              <w:t>83</w:t>
            </w:r>
          </w:p>
        </w:tc>
        <w:tc>
          <w:tcPr>
            <w:tcW w:w="647" w:type="dxa"/>
          </w:tcPr>
          <w:p w:rsidR="00000000" w:rsidRDefault="00000000">
            <w:pPr>
              <w:spacing w:before="120"/>
              <w:jc w:val="center"/>
              <w:rPr>
                <w:sz w:val="18"/>
              </w:rPr>
            </w:pPr>
            <w:r>
              <w:rPr>
                <w:sz w:val="18"/>
              </w:rPr>
              <w:t>85</w:t>
            </w:r>
          </w:p>
        </w:tc>
        <w:tc>
          <w:tcPr>
            <w:tcW w:w="641" w:type="dxa"/>
          </w:tcPr>
          <w:p w:rsidR="00000000" w:rsidRDefault="00000000">
            <w:pPr>
              <w:spacing w:before="120"/>
              <w:jc w:val="center"/>
              <w:rPr>
                <w:sz w:val="18"/>
              </w:rPr>
            </w:pPr>
            <w:r>
              <w:rPr>
                <w:sz w:val="18"/>
              </w:rPr>
              <w:t>87</w:t>
            </w:r>
          </w:p>
        </w:tc>
        <w:tc>
          <w:tcPr>
            <w:tcW w:w="616" w:type="dxa"/>
          </w:tcPr>
          <w:p w:rsidR="00000000" w:rsidRDefault="00000000">
            <w:pPr>
              <w:spacing w:before="120"/>
              <w:jc w:val="center"/>
              <w:rPr>
                <w:sz w:val="18"/>
              </w:rPr>
            </w:pPr>
            <w:r>
              <w:rPr>
                <w:sz w:val="18"/>
              </w:rPr>
              <w:t>90</w:t>
            </w:r>
          </w:p>
        </w:tc>
      </w:tr>
      <w:tr w:rsidR="00000000">
        <w:tblPrEx>
          <w:tblCellMar>
            <w:top w:w="0" w:type="dxa"/>
            <w:bottom w:w="0" w:type="dxa"/>
          </w:tblCellMar>
        </w:tblPrEx>
        <w:tc>
          <w:tcPr>
            <w:tcW w:w="917" w:type="dxa"/>
          </w:tcPr>
          <w:p w:rsidR="00000000" w:rsidRDefault="00000000">
            <w:pPr>
              <w:spacing w:before="120"/>
              <w:rPr>
                <w:sz w:val="18"/>
              </w:rPr>
            </w:pPr>
            <w:r>
              <w:rPr>
                <w:sz w:val="18"/>
              </w:rPr>
              <w:t>#280103</w:t>
            </w:r>
          </w:p>
        </w:tc>
        <w:tc>
          <w:tcPr>
            <w:tcW w:w="2215"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56"/>
              <w:rPr>
                <w:sz w:val="22"/>
                <w:szCs w:val="22"/>
                <w:lang w:val="en-GB"/>
              </w:rPr>
            </w:pPr>
            <w:r>
              <w:rPr>
                <w:sz w:val="22"/>
                <w:szCs w:val="22"/>
                <w:lang w:val="en-GB"/>
              </w:rPr>
              <w:t xml:space="preserve">  pertussis</w:t>
            </w:r>
          </w:p>
        </w:tc>
        <w:tc>
          <w:tcPr>
            <w:tcW w:w="626" w:type="dxa"/>
          </w:tcPr>
          <w:p w:rsidR="00000000" w:rsidRDefault="00000000">
            <w:pPr>
              <w:spacing w:before="120"/>
              <w:rPr>
                <w:sz w:val="18"/>
              </w:rPr>
            </w:pPr>
            <w:r>
              <w:rPr>
                <w:sz w:val="18"/>
              </w:rPr>
              <w:t>83</w:t>
            </w:r>
          </w:p>
        </w:tc>
        <w:tc>
          <w:tcPr>
            <w:tcW w:w="647" w:type="dxa"/>
          </w:tcPr>
          <w:p w:rsidR="00000000" w:rsidRDefault="00000000">
            <w:pPr>
              <w:spacing w:before="120"/>
              <w:rPr>
                <w:sz w:val="18"/>
              </w:rPr>
            </w:pPr>
            <w:r>
              <w:rPr>
                <w:sz w:val="18"/>
              </w:rPr>
              <w:t>81.1</w:t>
            </w:r>
          </w:p>
        </w:tc>
        <w:tc>
          <w:tcPr>
            <w:tcW w:w="647" w:type="dxa"/>
          </w:tcPr>
          <w:p w:rsidR="00000000" w:rsidRDefault="00000000">
            <w:pPr>
              <w:spacing w:before="120"/>
              <w:rPr>
                <w:sz w:val="18"/>
              </w:rPr>
            </w:pPr>
            <w:r>
              <w:rPr>
                <w:sz w:val="18"/>
              </w:rPr>
              <w:t>82.8</w:t>
            </w:r>
          </w:p>
        </w:tc>
        <w:tc>
          <w:tcPr>
            <w:tcW w:w="637" w:type="dxa"/>
          </w:tcPr>
          <w:p w:rsidR="00000000" w:rsidRDefault="00000000">
            <w:pPr>
              <w:spacing w:before="120"/>
              <w:rPr>
                <w:sz w:val="18"/>
              </w:rPr>
            </w:pPr>
            <w:r>
              <w:rPr>
                <w:sz w:val="18"/>
              </w:rPr>
              <w:t>82.8</w:t>
            </w:r>
          </w:p>
        </w:tc>
        <w:tc>
          <w:tcPr>
            <w:tcW w:w="647" w:type="dxa"/>
          </w:tcPr>
          <w:p w:rsidR="00000000" w:rsidRDefault="00000000">
            <w:pPr>
              <w:spacing w:before="120"/>
              <w:rPr>
                <w:sz w:val="18"/>
              </w:rPr>
            </w:pPr>
            <w:r>
              <w:rPr>
                <w:sz w:val="18"/>
              </w:rPr>
              <w:t>81.7</w:t>
            </w:r>
          </w:p>
        </w:tc>
        <w:tc>
          <w:tcPr>
            <w:tcW w:w="637" w:type="dxa"/>
          </w:tcPr>
          <w:p w:rsidR="00000000" w:rsidRDefault="00000000">
            <w:pPr>
              <w:spacing w:before="120"/>
              <w:rPr>
                <w:sz w:val="18"/>
              </w:rPr>
            </w:pPr>
            <w:r>
              <w:rPr>
                <w:sz w:val="18"/>
              </w:rPr>
              <w:t>81.1</w:t>
            </w:r>
          </w:p>
        </w:tc>
        <w:tc>
          <w:tcPr>
            <w:tcW w:w="637" w:type="dxa"/>
          </w:tcPr>
          <w:p w:rsidR="00000000" w:rsidRDefault="00000000">
            <w:pPr>
              <w:spacing w:before="120"/>
              <w:rPr>
                <w:sz w:val="18"/>
              </w:rPr>
            </w:pPr>
            <w:r>
              <w:rPr>
                <w:sz w:val="18"/>
              </w:rPr>
              <w:t>81.5</w:t>
            </w:r>
          </w:p>
        </w:tc>
        <w:tc>
          <w:tcPr>
            <w:tcW w:w="647" w:type="dxa"/>
          </w:tcPr>
          <w:p w:rsidR="00000000" w:rsidRDefault="00000000">
            <w:pPr>
              <w:spacing w:before="120"/>
              <w:rPr>
                <w:sz w:val="18"/>
              </w:rPr>
            </w:pPr>
            <w:r>
              <w:rPr>
                <w:sz w:val="18"/>
              </w:rPr>
              <w:t>80.7</w:t>
            </w:r>
          </w:p>
        </w:tc>
        <w:tc>
          <w:tcPr>
            <w:tcW w:w="637" w:type="dxa"/>
          </w:tcPr>
          <w:p w:rsidR="00000000" w:rsidRDefault="00000000">
            <w:pPr>
              <w:spacing w:before="120"/>
              <w:rPr>
                <w:sz w:val="18"/>
              </w:rPr>
            </w:pPr>
            <w:r>
              <w:rPr>
                <w:sz w:val="18"/>
              </w:rPr>
              <w:t>83.7</w:t>
            </w:r>
          </w:p>
        </w:tc>
        <w:tc>
          <w:tcPr>
            <w:tcW w:w="637" w:type="dxa"/>
          </w:tcPr>
          <w:p w:rsidR="00000000" w:rsidRDefault="00000000">
            <w:pPr>
              <w:spacing w:before="120"/>
              <w:rPr>
                <w:sz w:val="18"/>
              </w:rPr>
            </w:pPr>
            <w:r>
              <w:rPr>
                <w:sz w:val="18"/>
              </w:rPr>
              <w:t>86.4</w:t>
            </w:r>
          </w:p>
        </w:tc>
        <w:tc>
          <w:tcPr>
            <w:tcW w:w="637" w:type="dxa"/>
          </w:tcPr>
          <w:p w:rsidR="00000000" w:rsidRDefault="00000000">
            <w:pPr>
              <w:spacing w:before="120"/>
              <w:rPr>
                <w:sz w:val="18"/>
              </w:rPr>
            </w:pPr>
            <w:r>
              <w:rPr>
                <w:sz w:val="18"/>
              </w:rPr>
              <w:t>87.9</w:t>
            </w:r>
          </w:p>
        </w:tc>
        <w:tc>
          <w:tcPr>
            <w:tcW w:w="647" w:type="dxa"/>
          </w:tcPr>
          <w:p w:rsidR="00000000" w:rsidRDefault="00000000">
            <w:pPr>
              <w:spacing w:before="120"/>
              <w:jc w:val="center"/>
              <w:rPr>
                <w:sz w:val="18"/>
              </w:rPr>
            </w:pPr>
            <w:r>
              <w:rPr>
                <w:sz w:val="18"/>
              </w:rPr>
              <w:t>85</w:t>
            </w:r>
          </w:p>
        </w:tc>
        <w:tc>
          <w:tcPr>
            <w:tcW w:w="637" w:type="dxa"/>
          </w:tcPr>
          <w:p w:rsidR="00000000" w:rsidRDefault="00000000">
            <w:pPr>
              <w:spacing w:before="120"/>
              <w:jc w:val="center"/>
              <w:rPr>
                <w:sz w:val="18"/>
              </w:rPr>
            </w:pPr>
            <w:r>
              <w:rPr>
                <w:sz w:val="18"/>
              </w:rPr>
              <w:t>83</w:t>
            </w:r>
          </w:p>
        </w:tc>
        <w:tc>
          <w:tcPr>
            <w:tcW w:w="647" w:type="dxa"/>
          </w:tcPr>
          <w:p w:rsidR="00000000" w:rsidRDefault="00000000">
            <w:pPr>
              <w:spacing w:before="120"/>
              <w:jc w:val="center"/>
              <w:rPr>
                <w:sz w:val="18"/>
              </w:rPr>
            </w:pPr>
            <w:r>
              <w:rPr>
                <w:sz w:val="18"/>
              </w:rPr>
              <w:t>85</w:t>
            </w:r>
          </w:p>
        </w:tc>
        <w:tc>
          <w:tcPr>
            <w:tcW w:w="641" w:type="dxa"/>
          </w:tcPr>
          <w:p w:rsidR="00000000" w:rsidRDefault="00000000">
            <w:pPr>
              <w:spacing w:before="120"/>
              <w:jc w:val="center"/>
              <w:rPr>
                <w:sz w:val="18"/>
              </w:rPr>
            </w:pPr>
            <w:r>
              <w:rPr>
                <w:sz w:val="18"/>
              </w:rPr>
              <w:t>87</w:t>
            </w:r>
          </w:p>
        </w:tc>
        <w:tc>
          <w:tcPr>
            <w:tcW w:w="616" w:type="dxa"/>
          </w:tcPr>
          <w:p w:rsidR="00000000" w:rsidRDefault="00000000">
            <w:pPr>
              <w:spacing w:before="120"/>
              <w:jc w:val="center"/>
              <w:rPr>
                <w:sz w:val="18"/>
              </w:rPr>
            </w:pPr>
            <w:r>
              <w:rPr>
                <w:sz w:val="18"/>
              </w:rPr>
              <w:t>90</w:t>
            </w:r>
          </w:p>
        </w:tc>
      </w:tr>
      <w:tr w:rsidR="00000000">
        <w:tblPrEx>
          <w:tblCellMar>
            <w:top w:w="0" w:type="dxa"/>
            <w:bottom w:w="0" w:type="dxa"/>
          </w:tblCellMar>
        </w:tblPrEx>
        <w:tc>
          <w:tcPr>
            <w:tcW w:w="917" w:type="dxa"/>
          </w:tcPr>
          <w:p w:rsidR="00000000" w:rsidRDefault="00000000">
            <w:pPr>
              <w:spacing w:before="120"/>
              <w:rPr>
                <w:sz w:val="18"/>
              </w:rPr>
            </w:pPr>
            <w:r>
              <w:rPr>
                <w:sz w:val="18"/>
              </w:rPr>
              <w:t>#280104</w:t>
            </w:r>
          </w:p>
        </w:tc>
        <w:tc>
          <w:tcPr>
            <w:tcW w:w="2215"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56"/>
              <w:rPr>
                <w:sz w:val="22"/>
                <w:szCs w:val="22"/>
                <w:lang w:val="en-GB"/>
              </w:rPr>
            </w:pPr>
            <w:r>
              <w:rPr>
                <w:sz w:val="22"/>
                <w:szCs w:val="22"/>
                <w:lang w:val="en-GB"/>
              </w:rPr>
              <w:t xml:space="preserve">  measles</w:t>
            </w:r>
          </w:p>
        </w:tc>
        <w:tc>
          <w:tcPr>
            <w:tcW w:w="626" w:type="dxa"/>
          </w:tcPr>
          <w:p w:rsidR="00000000" w:rsidRDefault="00000000">
            <w:pPr>
              <w:spacing w:before="120"/>
              <w:rPr>
                <w:sz w:val="18"/>
              </w:rPr>
            </w:pPr>
            <w:r>
              <w:rPr>
                <w:sz w:val="18"/>
              </w:rPr>
              <w:t>88.1</w:t>
            </w:r>
          </w:p>
        </w:tc>
        <w:tc>
          <w:tcPr>
            <w:tcW w:w="647" w:type="dxa"/>
          </w:tcPr>
          <w:p w:rsidR="00000000" w:rsidRDefault="00000000">
            <w:pPr>
              <w:spacing w:before="120"/>
              <w:rPr>
                <w:sz w:val="18"/>
              </w:rPr>
            </w:pPr>
            <w:r>
              <w:rPr>
                <w:sz w:val="18"/>
              </w:rPr>
              <w:t>89</w:t>
            </w:r>
          </w:p>
        </w:tc>
        <w:tc>
          <w:tcPr>
            <w:tcW w:w="647" w:type="dxa"/>
          </w:tcPr>
          <w:p w:rsidR="00000000" w:rsidRDefault="00000000">
            <w:pPr>
              <w:spacing w:before="120"/>
              <w:rPr>
                <w:sz w:val="18"/>
              </w:rPr>
            </w:pPr>
            <w:r>
              <w:rPr>
                <w:sz w:val="18"/>
              </w:rPr>
              <w:t>89.4</w:t>
            </w:r>
          </w:p>
        </w:tc>
        <w:tc>
          <w:tcPr>
            <w:tcW w:w="637" w:type="dxa"/>
          </w:tcPr>
          <w:p w:rsidR="00000000" w:rsidRDefault="00000000">
            <w:pPr>
              <w:spacing w:before="120"/>
              <w:rPr>
                <w:sz w:val="18"/>
              </w:rPr>
            </w:pPr>
            <w:r>
              <w:rPr>
                <w:sz w:val="18"/>
              </w:rPr>
              <w:t>88.4</w:t>
            </w:r>
          </w:p>
        </w:tc>
        <w:tc>
          <w:tcPr>
            <w:tcW w:w="647" w:type="dxa"/>
          </w:tcPr>
          <w:p w:rsidR="00000000" w:rsidRDefault="00000000">
            <w:pPr>
              <w:spacing w:before="120"/>
              <w:rPr>
                <w:sz w:val="18"/>
              </w:rPr>
            </w:pPr>
            <w:r>
              <w:rPr>
                <w:sz w:val="18"/>
              </w:rPr>
              <w:t>90.2</w:t>
            </w:r>
          </w:p>
        </w:tc>
        <w:tc>
          <w:tcPr>
            <w:tcW w:w="637" w:type="dxa"/>
          </w:tcPr>
          <w:p w:rsidR="00000000" w:rsidRDefault="00000000">
            <w:pPr>
              <w:spacing w:before="120"/>
              <w:rPr>
                <w:sz w:val="18"/>
              </w:rPr>
            </w:pPr>
            <w:r>
              <w:rPr>
                <w:sz w:val="18"/>
              </w:rPr>
              <w:t>89.2</w:t>
            </w:r>
          </w:p>
        </w:tc>
        <w:tc>
          <w:tcPr>
            <w:tcW w:w="637" w:type="dxa"/>
          </w:tcPr>
          <w:p w:rsidR="00000000" w:rsidRDefault="00000000">
            <w:pPr>
              <w:spacing w:before="120"/>
              <w:rPr>
                <w:sz w:val="18"/>
              </w:rPr>
            </w:pPr>
            <w:r>
              <w:rPr>
                <w:sz w:val="18"/>
              </w:rPr>
              <w:t>88.6</w:t>
            </w:r>
          </w:p>
        </w:tc>
        <w:tc>
          <w:tcPr>
            <w:tcW w:w="647" w:type="dxa"/>
          </w:tcPr>
          <w:p w:rsidR="00000000" w:rsidRDefault="00000000">
            <w:pPr>
              <w:spacing w:before="120"/>
              <w:rPr>
                <w:sz w:val="18"/>
              </w:rPr>
            </w:pPr>
            <w:r>
              <w:rPr>
                <w:sz w:val="18"/>
              </w:rPr>
              <w:t>90</w:t>
            </w:r>
          </w:p>
        </w:tc>
        <w:tc>
          <w:tcPr>
            <w:tcW w:w="637" w:type="dxa"/>
          </w:tcPr>
          <w:p w:rsidR="00000000" w:rsidRDefault="00000000">
            <w:pPr>
              <w:spacing w:before="120"/>
              <w:rPr>
                <w:sz w:val="18"/>
              </w:rPr>
            </w:pPr>
            <w:r>
              <w:rPr>
                <w:sz w:val="18"/>
              </w:rPr>
              <w:t>91.4</w:t>
            </w:r>
          </w:p>
        </w:tc>
        <w:tc>
          <w:tcPr>
            <w:tcW w:w="637" w:type="dxa"/>
          </w:tcPr>
          <w:p w:rsidR="00000000" w:rsidRDefault="00000000">
            <w:pPr>
              <w:spacing w:before="120"/>
              <w:rPr>
                <w:sz w:val="18"/>
              </w:rPr>
            </w:pPr>
            <w:r>
              <w:rPr>
                <w:sz w:val="18"/>
              </w:rPr>
              <w:t>92.8</w:t>
            </w:r>
          </w:p>
        </w:tc>
        <w:tc>
          <w:tcPr>
            <w:tcW w:w="637" w:type="dxa"/>
          </w:tcPr>
          <w:p w:rsidR="00000000" w:rsidRDefault="00000000">
            <w:pPr>
              <w:spacing w:before="120"/>
              <w:rPr>
                <w:sz w:val="18"/>
              </w:rPr>
            </w:pPr>
            <w:r>
              <w:rPr>
                <w:sz w:val="18"/>
              </w:rPr>
              <w:t>91.5</w:t>
            </w:r>
          </w:p>
        </w:tc>
        <w:tc>
          <w:tcPr>
            <w:tcW w:w="647" w:type="dxa"/>
          </w:tcPr>
          <w:p w:rsidR="00000000" w:rsidRDefault="00000000">
            <w:pPr>
              <w:spacing w:before="120"/>
              <w:jc w:val="center"/>
              <w:rPr>
                <w:sz w:val="18"/>
              </w:rPr>
            </w:pPr>
            <w:r>
              <w:rPr>
                <w:sz w:val="18"/>
              </w:rPr>
              <w:t>89</w:t>
            </w:r>
          </w:p>
        </w:tc>
        <w:tc>
          <w:tcPr>
            <w:tcW w:w="637" w:type="dxa"/>
          </w:tcPr>
          <w:p w:rsidR="00000000" w:rsidRDefault="00000000">
            <w:pPr>
              <w:spacing w:before="120"/>
              <w:jc w:val="center"/>
              <w:rPr>
                <w:sz w:val="18"/>
              </w:rPr>
            </w:pPr>
            <w:r>
              <w:rPr>
                <w:sz w:val="18"/>
              </w:rPr>
              <w:t>90</w:t>
            </w:r>
          </w:p>
        </w:tc>
        <w:tc>
          <w:tcPr>
            <w:tcW w:w="647" w:type="dxa"/>
          </w:tcPr>
          <w:p w:rsidR="00000000" w:rsidRDefault="00000000">
            <w:pPr>
              <w:spacing w:before="120"/>
              <w:jc w:val="center"/>
              <w:rPr>
                <w:sz w:val="18"/>
              </w:rPr>
            </w:pPr>
            <w:r>
              <w:rPr>
                <w:sz w:val="18"/>
              </w:rPr>
              <w:t>90</w:t>
            </w:r>
          </w:p>
        </w:tc>
        <w:tc>
          <w:tcPr>
            <w:tcW w:w="641" w:type="dxa"/>
          </w:tcPr>
          <w:p w:rsidR="00000000" w:rsidRDefault="00000000">
            <w:pPr>
              <w:spacing w:before="120"/>
              <w:jc w:val="center"/>
              <w:rPr>
                <w:sz w:val="18"/>
              </w:rPr>
            </w:pPr>
            <w:r>
              <w:rPr>
                <w:sz w:val="18"/>
              </w:rPr>
              <w:t>90</w:t>
            </w:r>
          </w:p>
        </w:tc>
        <w:tc>
          <w:tcPr>
            <w:tcW w:w="616" w:type="dxa"/>
          </w:tcPr>
          <w:p w:rsidR="00000000" w:rsidRDefault="00000000">
            <w:pPr>
              <w:spacing w:before="120"/>
              <w:jc w:val="center"/>
              <w:rPr>
                <w:sz w:val="18"/>
              </w:rPr>
            </w:pPr>
            <w:r>
              <w:rPr>
                <w:sz w:val="18"/>
              </w:rPr>
              <w:t>92</w:t>
            </w:r>
          </w:p>
        </w:tc>
      </w:tr>
      <w:tr w:rsidR="00000000">
        <w:tblPrEx>
          <w:tblCellMar>
            <w:top w:w="0" w:type="dxa"/>
            <w:bottom w:w="0" w:type="dxa"/>
          </w:tblCellMar>
        </w:tblPrEx>
        <w:tc>
          <w:tcPr>
            <w:tcW w:w="917" w:type="dxa"/>
          </w:tcPr>
          <w:p w:rsidR="00000000" w:rsidRDefault="00000000">
            <w:pPr>
              <w:spacing w:before="120"/>
              <w:rPr>
                <w:sz w:val="18"/>
              </w:rPr>
            </w:pPr>
            <w:r>
              <w:rPr>
                <w:sz w:val="18"/>
              </w:rPr>
              <w:t>#280105</w:t>
            </w:r>
          </w:p>
        </w:tc>
        <w:tc>
          <w:tcPr>
            <w:tcW w:w="2215"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56"/>
              <w:rPr>
                <w:sz w:val="22"/>
                <w:szCs w:val="22"/>
                <w:lang w:val="en-GB"/>
              </w:rPr>
            </w:pPr>
            <w:r>
              <w:rPr>
                <w:rFonts w:hint="eastAsia"/>
                <w:sz w:val="22"/>
                <w:szCs w:val="22"/>
                <w:lang w:val="en-GB"/>
              </w:rPr>
              <w:t xml:space="preserve">  </w:t>
            </w:r>
            <w:r>
              <w:rPr>
                <w:sz w:val="22"/>
                <w:szCs w:val="22"/>
                <w:lang w:val="en-GB"/>
              </w:rPr>
              <w:t>poliomyelitis</w:t>
            </w:r>
          </w:p>
        </w:tc>
        <w:tc>
          <w:tcPr>
            <w:tcW w:w="626" w:type="dxa"/>
          </w:tcPr>
          <w:p w:rsidR="00000000" w:rsidRDefault="00000000">
            <w:pPr>
              <w:spacing w:before="120"/>
              <w:rPr>
                <w:sz w:val="18"/>
              </w:rPr>
            </w:pPr>
            <w:r>
              <w:rPr>
                <w:sz w:val="18"/>
              </w:rPr>
              <w:t>83.4</w:t>
            </w:r>
          </w:p>
        </w:tc>
        <w:tc>
          <w:tcPr>
            <w:tcW w:w="647" w:type="dxa"/>
          </w:tcPr>
          <w:p w:rsidR="00000000" w:rsidRDefault="00000000">
            <w:pPr>
              <w:spacing w:before="120"/>
              <w:rPr>
                <w:sz w:val="18"/>
              </w:rPr>
            </w:pPr>
            <w:r>
              <w:rPr>
                <w:sz w:val="18"/>
              </w:rPr>
              <w:t>82.9</w:t>
            </w:r>
          </w:p>
        </w:tc>
        <w:tc>
          <w:tcPr>
            <w:tcW w:w="647" w:type="dxa"/>
          </w:tcPr>
          <w:p w:rsidR="00000000" w:rsidRDefault="00000000">
            <w:pPr>
              <w:spacing w:before="120"/>
              <w:rPr>
                <w:sz w:val="18"/>
              </w:rPr>
            </w:pPr>
            <w:r>
              <w:rPr>
                <w:sz w:val="18"/>
              </w:rPr>
              <w:t>83.9</w:t>
            </w:r>
          </w:p>
        </w:tc>
        <w:tc>
          <w:tcPr>
            <w:tcW w:w="637" w:type="dxa"/>
          </w:tcPr>
          <w:p w:rsidR="00000000" w:rsidRDefault="00000000">
            <w:pPr>
              <w:spacing w:before="120"/>
              <w:rPr>
                <w:sz w:val="18"/>
              </w:rPr>
            </w:pPr>
            <w:r>
              <w:rPr>
                <w:sz w:val="18"/>
              </w:rPr>
              <w:t>81.4</w:t>
            </w:r>
          </w:p>
        </w:tc>
        <w:tc>
          <w:tcPr>
            <w:tcW w:w="647" w:type="dxa"/>
          </w:tcPr>
          <w:p w:rsidR="00000000" w:rsidRDefault="00000000">
            <w:pPr>
              <w:spacing w:before="120"/>
              <w:rPr>
                <w:sz w:val="18"/>
              </w:rPr>
            </w:pPr>
            <w:r>
              <w:rPr>
                <w:sz w:val="18"/>
              </w:rPr>
              <w:t>84.7</w:t>
            </w:r>
          </w:p>
        </w:tc>
        <w:tc>
          <w:tcPr>
            <w:tcW w:w="637" w:type="dxa"/>
          </w:tcPr>
          <w:p w:rsidR="00000000" w:rsidRDefault="00000000">
            <w:pPr>
              <w:spacing w:before="120"/>
              <w:rPr>
                <w:sz w:val="18"/>
              </w:rPr>
            </w:pPr>
            <w:r>
              <w:rPr>
                <w:sz w:val="18"/>
              </w:rPr>
              <w:t>85.2</w:t>
            </w:r>
          </w:p>
        </w:tc>
        <w:tc>
          <w:tcPr>
            <w:tcW w:w="637" w:type="dxa"/>
          </w:tcPr>
          <w:p w:rsidR="00000000" w:rsidRDefault="00000000">
            <w:pPr>
              <w:spacing w:before="120"/>
              <w:rPr>
                <w:sz w:val="18"/>
              </w:rPr>
            </w:pPr>
            <w:r>
              <w:rPr>
                <w:sz w:val="18"/>
              </w:rPr>
              <w:t>80.1</w:t>
            </w:r>
          </w:p>
        </w:tc>
        <w:tc>
          <w:tcPr>
            <w:tcW w:w="647" w:type="dxa"/>
          </w:tcPr>
          <w:p w:rsidR="00000000" w:rsidRDefault="00000000">
            <w:pPr>
              <w:spacing w:before="120"/>
              <w:rPr>
                <w:sz w:val="18"/>
              </w:rPr>
            </w:pPr>
            <w:r>
              <w:rPr>
                <w:sz w:val="18"/>
              </w:rPr>
              <w:t>82.3</w:t>
            </w:r>
          </w:p>
        </w:tc>
        <w:tc>
          <w:tcPr>
            <w:tcW w:w="637" w:type="dxa"/>
          </w:tcPr>
          <w:p w:rsidR="00000000" w:rsidRDefault="00000000">
            <w:pPr>
              <w:spacing w:before="120"/>
              <w:rPr>
                <w:sz w:val="18"/>
              </w:rPr>
            </w:pPr>
            <w:r>
              <w:rPr>
                <w:sz w:val="18"/>
              </w:rPr>
              <w:t>84.2</w:t>
            </w:r>
          </w:p>
        </w:tc>
        <w:tc>
          <w:tcPr>
            <w:tcW w:w="637" w:type="dxa"/>
          </w:tcPr>
          <w:p w:rsidR="00000000" w:rsidRDefault="00000000">
            <w:pPr>
              <w:spacing w:before="120"/>
              <w:rPr>
                <w:sz w:val="18"/>
              </w:rPr>
            </w:pPr>
            <w:r>
              <w:rPr>
                <w:sz w:val="18"/>
              </w:rPr>
              <w:t>85.2</w:t>
            </w:r>
          </w:p>
        </w:tc>
        <w:tc>
          <w:tcPr>
            <w:tcW w:w="637" w:type="dxa"/>
          </w:tcPr>
          <w:p w:rsidR="00000000" w:rsidRDefault="00000000">
            <w:pPr>
              <w:spacing w:before="120"/>
              <w:rPr>
                <w:sz w:val="18"/>
              </w:rPr>
            </w:pPr>
            <w:r>
              <w:rPr>
                <w:sz w:val="18"/>
              </w:rPr>
              <w:t>86.6</w:t>
            </w:r>
          </w:p>
        </w:tc>
        <w:tc>
          <w:tcPr>
            <w:tcW w:w="647" w:type="dxa"/>
          </w:tcPr>
          <w:p w:rsidR="00000000" w:rsidRDefault="00000000">
            <w:pPr>
              <w:spacing w:before="120"/>
              <w:jc w:val="center"/>
              <w:rPr>
                <w:sz w:val="18"/>
              </w:rPr>
            </w:pPr>
            <w:r>
              <w:rPr>
                <w:sz w:val="18"/>
              </w:rPr>
              <w:t>84</w:t>
            </w:r>
          </w:p>
        </w:tc>
        <w:tc>
          <w:tcPr>
            <w:tcW w:w="637" w:type="dxa"/>
          </w:tcPr>
          <w:p w:rsidR="00000000" w:rsidRDefault="00000000">
            <w:pPr>
              <w:spacing w:before="120"/>
              <w:jc w:val="center"/>
              <w:rPr>
                <w:sz w:val="18"/>
              </w:rPr>
            </w:pPr>
            <w:r>
              <w:rPr>
                <w:sz w:val="18"/>
              </w:rPr>
              <w:t>82</w:t>
            </w:r>
          </w:p>
        </w:tc>
        <w:tc>
          <w:tcPr>
            <w:tcW w:w="647" w:type="dxa"/>
          </w:tcPr>
          <w:p w:rsidR="00000000" w:rsidRDefault="00000000">
            <w:pPr>
              <w:spacing w:before="120"/>
              <w:jc w:val="center"/>
              <w:rPr>
                <w:sz w:val="18"/>
              </w:rPr>
            </w:pPr>
            <w:r>
              <w:rPr>
                <w:sz w:val="18"/>
              </w:rPr>
              <w:t>85</w:t>
            </w:r>
          </w:p>
        </w:tc>
        <w:tc>
          <w:tcPr>
            <w:tcW w:w="641" w:type="dxa"/>
          </w:tcPr>
          <w:p w:rsidR="00000000" w:rsidRDefault="00000000">
            <w:pPr>
              <w:spacing w:before="120"/>
              <w:jc w:val="center"/>
              <w:rPr>
                <w:sz w:val="18"/>
              </w:rPr>
            </w:pPr>
            <w:r>
              <w:rPr>
                <w:sz w:val="18"/>
              </w:rPr>
              <w:t>87</w:t>
            </w:r>
          </w:p>
        </w:tc>
        <w:tc>
          <w:tcPr>
            <w:tcW w:w="616" w:type="dxa"/>
          </w:tcPr>
          <w:p w:rsidR="00000000" w:rsidRDefault="00000000">
            <w:pPr>
              <w:spacing w:before="120"/>
              <w:jc w:val="center"/>
              <w:rPr>
                <w:sz w:val="18"/>
              </w:rPr>
            </w:pPr>
            <w:r>
              <w:rPr>
                <w:sz w:val="18"/>
              </w:rPr>
              <w:t>90</w:t>
            </w:r>
          </w:p>
        </w:tc>
      </w:tr>
      <w:tr w:rsidR="00000000">
        <w:tblPrEx>
          <w:tblCellMar>
            <w:top w:w="0" w:type="dxa"/>
            <w:bottom w:w="0" w:type="dxa"/>
          </w:tblCellMar>
        </w:tblPrEx>
        <w:tc>
          <w:tcPr>
            <w:tcW w:w="917" w:type="dxa"/>
          </w:tcPr>
          <w:p w:rsidR="00000000" w:rsidRDefault="00000000">
            <w:pPr>
              <w:spacing w:before="120"/>
              <w:rPr>
                <w:sz w:val="18"/>
              </w:rPr>
            </w:pPr>
            <w:r>
              <w:rPr>
                <w:sz w:val="18"/>
              </w:rPr>
              <w:t>#280106</w:t>
            </w:r>
          </w:p>
        </w:tc>
        <w:tc>
          <w:tcPr>
            <w:tcW w:w="2215" w:type="dxa"/>
          </w:tcPr>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s>
              <w:spacing w:after="75"/>
              <w:rPr>
                <w:sz w:val="22"/>
                <w:szCs w:val="22"/>
                <w:lang w:val="en-GB"/>
              </w:rPr>
            </w:pPr>
            <w:r>
              <w:rPr>
                <w:sz w:val="22"/>
                <w:szCs w:val="22"/>
                <w:lang w:val="en-GB"/>
              </w:rPr>
              <w:t xml:space="preserve">  tuberculosis</w:t>
            </w:r>
          </w:p>
        </w:tc>
        <w:tc>
          <w:tcPr>
            <w:tcW w:w="626" w:type="dxa"/>
          </w:tcPr>
          <w:p w:rsidR="00000000" w:rsidRDefault="00000000">
            <w:pPr>
              <w:spacing w:before="120"/>
              <w:rPr>
                <w:sz w:val="18"/>
              </w:rPr>
            </w:pPr>
            <w:r>
              <w:rPr>
                <w:sz w:val="18"/>
              </w:rPr>
              <w:t>95.8</w:t>
            </w:r>
          </w:p>
        </w:tc>
        <w:tc>
          <w:tcPr>
            <w:tcW w:w="647" w:type="dxa"/>
          </w:tcPr>
          <w:p w:rsidR="00000000" w:rsidRDefault="00000000">
            <w:pPr>
              <w:spacing w:before="120"/>
              <w:rPr>
                <w:sz w:val="18"/>
              </w:rPr>
            </w:pPr>
            <w:r>
              <w:rPr>
                <w:sz w:val="18"/>
              </w:rPr>
              <w:t>93</w:t>
            </w:r>
          </w:p>
        </w:tc>
        <w:tc>
          <w:tcPr>
            <w:tcW w:w="647" w:type="dxa"/>
          </w:tcPr>
          <w:p w:rsidR="00000000" w:rsidRDefault="00000000">
            <w:pPr>
              <w:spacing w:before="120"/>
              <w:rPr>
                <w:sz w:val="18"/>
              </w:rPr>
            </w:pPr>
            <w:r>
              <w:rPr>
                <w:sz w:val="18"/>
              </w:rPr>
              <w:t>94</w:t>
            </w:r>
          </w:p>
        </w:tc>
        <w:tc>
          <w:tcPr>
            <w:tcW w:w="637" w:type="dxa"/>
          </w:tcPr>
          <w:p w:rsidR="00000000" w:rsidRDefault="00000000">
            <w:pPr>
              <w:spacing w:before="120"/>
              <w:rPr>
                <w:sz w:val="18"/>
              </w:rPr>
            </w:pPr>
            <w:r>
              <w:rPr>
                <w:sz w:val="18"/>
              </w:rPr>
              <w:t>94.2</w:t>
            </w:r>
          </w:p>
        </w:tc>
        <w:tc>
          <w:tcPr>
            <w:tcW w:w="647" w:type="dxa"/>
          </w:tcPr>
          <w:p w:rsidR="00000000" w:rsidRDefault="00000000">
            <w:pPr>
              <w:spacing w:before="120"/>
              <w:rPr>
                <w:sz w:val="18"/>
              </w:rPr>
            </w:pPr>
            <w:r>
              <w:rPr>
                <w:sz w:val="18"/>
              </w:rPr>
              <w:t>94</w:t>
            </w:r>
          </w:p>
        </w:tc>
        <w:tc>
          <w:tcPr>
            <w:tcW w:w="637" w:type="dxa"/>
          </w:tcPr>
          <w:p w:rsidR="00000000" w:rsidRDefault="00000000">
            <w:pPr>
              <w:spacing w:before="120"/>
              <w:rPr>
                <w:sz w:val="18"/>
              </w:rPr>
            </w:pPr>
            <w:r>
              <w:rPr>
                <w:sz w:val="18"/>
              </w:rPr>
              <w:t>95.1</w:t>
            </w:r>
          </w:p>
        </w:tc>
        <w:tc>
          <w:tcPr>
            <w:tcW w:w="637" w:type="dxa"/>
          </w:tcPr>
          <w:p w:rsidR="00000000" w:rsidRDefault="00000000">
            <w:pPr>
              <w:spacing w:before="120"/>
              <w:rPr>
                <w:sz w:val="18"/>
              </w:rPr>
            </w:pPr>
            <w:r>
              <w:rPr>
                <w:sz w:val="18"/>
              </w:rPr>
              <w:t>94.6</w:t>
            </w:r>
          </w:p>
        </w:tc>
        <w:tc>
          <w:tcPr>
            <w:tcW w:w="647" w:type="dxa"/>
          </w:tcPr>
          <w:p w:rsidR="00000000" w:rsidRDefault="00000000">
            <w:pPr>
              <w:spacing w:before="120"/>
              <w:rPr>
                <w:sz w:val="18"/>
              </w:rPr>
            </w:pPr>
            <w:r>
              <w:rPr>
                <w:sz w:val="18"/>
              </w:rPr>
              <w:t>93.3</w:t>
            </w:r>
          </w:p>
        </w:tc>
        <w:tc>
          <w:tcPr>
            <w:tcW w:w="637" w:type="dxa"/>
          </w:tcPr>
          <w:p w:rsidR="00000000" w:rsidRDefault="00000000">
            <w:pPr>
              <w:spacing w:before="120"/>
              <w:rPr>
                <w:sz w:val="18"/>
              </w:rPr>
            </w:pPr>
            <w:r>
              <w:rPr>
                <w:sz w:val="18"/>
              </w:rPr>
              <w:t>94.9</w:t>
            </w:r>
          </w:p>
        </w:tc>
        <w:tc>
          <w:tcPr>
            <w:tcW w:w="637" w:type="dxa"/>
          </w:tcPr>
          <w:p w:rsidR="00000000" w:rsidRDefault="00000000">
            <w:pPr>
              <w:spacing w:before="120"/>
              <w:rPr>
                <w:sz w:val="18"/>
              </w:rPr>
            </w:pPr>
            <w:r>
              <w:rPr>
                <w:sz w:val="18"/>
              </w:rPr>
              <w:t>94.7</w:t>
            </w:r>
          </w:p>
        </w:tc>
        <w:tc>
          <w:tcPr>
            <w:tcW w:w="637" w:type="dxa"/>
          </w:tcPr>
          <w:p w:rsidR="00000000" w:rsidRDefault="00000000">
            <w:pPr>
              <w:spacing w:before="120"/>
              <w:rPr>
                <w:sz w:val="18"/>
              </w:rPr>
            </w:pPr>
            <w:r>
              <w:rPr>
                <w:sz w:val="18"/>
              </w:rPr>
              <w:t>93.5</w:t>
            </w:r>
          </w:p>
        </w:tc>
        <w:tc>
          <w:tcPr>
            <w:tcW w:w="647" w:type="dxa"/>
          </w:tcPr>
          <w:p w:rsidR="00000000" w:rsidRDefault="00000000">
            <w:pPr>
              <w:spacing w:before="120"/>
              <w:jc w:val="center"/>
              <w:rPr>
                <w:sz w:val="18"/>
              </w:rPr>
            </w:pPr>
            <w:r>
              <w:rPr>
                <w:sz w:val="18"/>
              </w:rPr>
              <w:t>92</w:t>
            </w:r>
          </w:p>
        </w:tc>
        <w:tc>
          <w:tcPr>
            <w:tcW w:w="637" w:type="dxa"/>
          </w:tcPr>
          <w:p w:rsidR="00000000" w:rsidRDefault="00000000">
            <w:pPr>
              <w:spacing w:before="120"/>
              <w:jc w:val="center"/>
              <w:rPr>
                <w:sz w:val="18"/>
              </w:rPr>
            </w:pPr>
            <w:r>
              <w:rPr>
                <w:sz w:val="18"/>
              </w:rPr>
              <w:t>92</w:t>
            </w:r>
          </w:p>
        </w:tc>
        <w:tc>
          <w:tcPr>
            <w:tcW w:w="647" w:type="dxa"/>
          </w:tcPr>
          <w:p w:rsidR="00000000" w:rsidRDefault="00000000">
            <w:pPr>
              <w:spacing w:before="120"/>
              <w:jc w:val="center"/>
              <w:rPr>
                <w:sz w:val="18"/>
              </w:rPr>
            </w:pPr>
            <w:r>
              <w:rPr>
                <w:sz w:val="18"/>
              </w:rPr>
              <w:t>98</w:t>
            </w:r>
          </w:p>
        </w:tc>
        <w:tc>
          <w:tcPr>
            <w:tcW w:w="641" w:type="dxa"/>
          </w:tcPr>
          <w:p w:rsidR="00000000" w:rsidRDefault="00000000">
            <w:pPr>
              <w:spacing w:before="120"/>
              <w:jc w:val="center"/>
              <w:rPr>
                <w:sz w:val="18"/>
              </w:rPr>
            </w:pPr>
            <w:r>
              <w:rPr>
                <w:sz w:val="18"/>
              </w:rPr>
              <w:t>97</w:t>
            </w:r>
          </w:p>
        </w:tc>
        <w:tc>
          <w:tcPr>
            <w:tcW w:w="616" w:type="dxa"/>
          </w:tcPr>
          <w:p w:rsidR="00000000" w:rsidRDefault="00000000">
            <w:pPr>
              <w:spacing w:before="120"/>
              <w:jc w:val="center"/>
              <w:rPr>
                <w:sz w:val="18"/>
              </w:rPr>
            </w:pPr>
            <w:r>
              <w:rPr>
                <w:sz w:val="18"/>
              </w:rPr>
              <w:t>98</w:t>
            </w:r>
          </w:p>
        </w:tc>
      </w:tr>
    </w:tbl>
    <w:p w:rsidR="00000000" w:rsidRDefault="00000000">
      <w:pPr>
        <w:spacing w:after="320"/>
        <w:sectPr w:rsidR="00000000">
          <w:headerReference w:type="even" r:id="rId12"/>
          <w:headerReference w:type="default" r:id="rId13"/>
          <w:footerReference w:type="even" r:id="rId14"/>
          <w:endnotePr>
            <w:numFmt w:val="decimal"/>
          </w:endnotePr>
          <w:pgSz w:w="16838" w:h="11906" w:orient="landscape" w:code="9"/>
          <w:pgMar w:top="1701" w:right="1985" w:bottom="851" w:left="1985" w:header="794" w:footer="1588" w:gutter="0"/>
          <w:cols w:space="425"/>
          <w:docGrid w:type="lines" w:linePitch="326"/>
        </w:sectPr>
      </w:pPr>
    </w:p>
    <w:p w:rsidR="00000000" w:rsidRDefault="00000000">
      <w:pPr>
        <w:spacing w:after="160"/>
        <w:rPr>
          <w:rFonts w:hint="eastAsia"/>
        </w:rPr>
      </w:pPr>
      <w:r>
        <w:rPr>
          <w:rFonts w:hint="eastAsia"/>
        </w:rPr>
        <w:tab/>
        <w:t xml:space="preserve">373.  </w:t>
      </w:r>
      <w:r>
        <w:rPr>
          <w:rFonts w:hint="eastAsia"/>
        </w:rPr>
        <w:t>预期寿命</w:t>
      </w:r>
    </w:p>
    <w:tbl>
      <w:tblPr>
        <w:tblW w:w="0" w:type="auto"/>
        <w:tblLook w:val="0000" w:firstRow="0" w:lastRow="0" w:firstColumn="0" w:lastColumn="0" w:noHBand="0" w:noVBand="0"/>
      </w:tblPr>
      <w:tblGrid>
        <w:gridCol w:w="4785"/>
        <w:gridCol w:w="4785"/>
      </w:tblGrid>
      <w:tr w:rsidR="00000000">
        <w:tblPrEx>
          <w:tblCellMar>
            <w:top w:w="0" w:type="dxa"/>
            <w:bottom w:w="0" w:type="dxa"/>
          </w:tblCellMar>
        </w:tblPrEx>
        <w:tc>
          <w:tcPr>
            <w:tcW w:w="4785" w:type="dxa"/>
          </w:tcPr>
          <w:p w:rsidR="00000000" w:rsidRDefault="00000000">
            <w:pPr>
              <w:ind w:left="1247"/>
              <w:rPr>
                <w:rFonts w:hint="eastAsia"/>
              </w:rPr>
            </w:pPr>
            <w:r>
              <w:rPr>
                <w:rFonts w:hint="eastAsia"/>
              </w:rPr>
              <w:t>出生时预期寿命</w:t>
            </w:r>
          </w:p>
        </w:tc>
        <w:tc>
          <w:tcPr>
            <w:tcW w:w="4786" w:type="dxa"/>
          </w:tcPr>
          <w:p w:rsidR="00000000" w:rsidRDefault="00000000">
            <w:pPr>
              <w:rPr>
                <w:rFonts w:hint="eastAsia"/>
              </w:rPr>
            </w:pPr>
            <w:r>
              <w:rPr>
                <w:rFonts w:hint="eastAsia"/>
              </w:rPr>
              <w:t>年</w:t>
            </w:r>
            <w:r>
              <w:rPr>
                <w:rFonts w:hint="eastAsia"/>
              </w:rPr>
              <w:t xml:space="preserve"> </w:t>
            </w:r>
            <w:r>
              <w:rPr>
                <w:rFonts w:hint="eastAsia"/>
              </w:rPr>
              <w:t>龄</w:t>
            </w:r>
          </w:p>
        </w:tc>
      </w:tr>
      <w:tr w:rsidR="00000000">
        <w:tblPrEx>
          <w:tblCellMar>
            <w:top w:w="0" w:type="dxa"/>
            <w:bottom w:w="0" w:type="dxa"/>
          </w:tblCellMar>
        </w:tblPrEx>
        <w:tc>
          <w:tcPr>
            <w:tcW w:w="4785" w:type="dxa"/>
          </w:tcPr>
          <w:p w:rsidR="00000000" w:rsidRDefault="00000000">
            <w:pPr>
              <w:ind w:left="1247"/>
              <w:rPr>
                <w:rFonts w:hint="eastAsia"/>
              </w:rPr>
            </w:pPr>
            <w:r>
              <w:rPr>
                <w:rFonts w:hint="eastAsia"/>
              </w:rPr>
              <w:t>所有人</w:t>
            </w:r>
          </w:p>
        </w:tc>
        <w:tc>
          <w:tcPr>
            <w:tcW w:w="4786" w:type="dxa"/>
          </w:tcPr>
          <w:p w:rsidR="00000000" w:rsidRDefault="00000000">
            <w:pPr>
              <w:rPr>
                <w:rFonts w:hint="eastAsia"/>
              </w:rPr>
            </w:pPr>
            <w:r>
              <w:rPr>
                <w:rFonts w:hint="eastAsia"/>
              </w:rPr>
              <w:t>72.31</w:t>
            </w:r>
          </w:p>
        </w:tc>
      </w:tr>
      <w:tr w:rsidR="00000000">
        <w:tblPrEx>
          <w:tblCellMar>
            <w:top w:w="0" w:type="dxa"/>
            <w:bottom w:w="0" w:type="dxa"/>
          </w:tblCellMar>
        </w:tblPrEx>
        <w:tc>
          <w:tcPr>
            <w:tcW w:w="4785" w:type="dxa"/>
          </w:tcPr>
          <w:p w:rsidR="00000000" w:rsidRDefault="00000000">
            <w:pPr>
              <w:ind w:left="1247"/>
              <w:rPr>
                <w:rFonts w:hint="eastAsia"/>
              </w:rPr>
            </w:pPr>
            <w:r>
              <w:rPr>
                <w:rFonts w:hint="eastAsia"/>
              </w:rPr>
              <w:t>男性</w:t>
            </w:r>
          </w:p>
        </w:tc>
        <w:tc>
          <w:tcPr>
            <w:tcW w:w="4786" w:type="dxa"/>
          </w:tcPr>
          <w:p w:rsidR="00000000" w:rsidRDefault="00000000">
            <w:pPr>
              <w:rPr>
                <w:rFonts w:hint="eastAsia"/>
              </w:rPr>
            </w:pPr>
            <w:r>
              <w:rPr>
                <w:rFonts w:hint="eastAsia"/>
              </w:rPr>
              <w:t>68.59</w:t>
            </w:r>
          </w:p>
        </w:tc>
      </w:tr>
      <w:tr w:rsidR="00000000">
        <w:tblPrEx>
          <w:tblCellMar>
            <w:top w:w="0" w:type="dxa"/>
            <w:bottom w:w="0" w:type="dxa"/>
          </w:tblCellMar>
        </w:tblPrEx>
        <w:tc>
          <w:tcPr>
            <w:tcW w:w="4785" w:type="dxa"/>
          </w:tcPr>
          <w:p w:rsidR="00000000" w:rsidRDefault="00000000">
            <w:pPr>
              <w:ind w:left="1247"/>
              <w:rPr>
                <w:rFonts w:hint="eastAsia"/>
              </w:rPr>
            </w:pPr>
            <w:r>
              <w:rPr>
                <w:rFonts w:hint="eastAsia"/>
              </w:rPr>
              <w:t>女性</w:t>
            </w:r>
          </w:p>
        </w:tc>
        <w:tc>
          <w:tcPr>
            <w:tcW w:w="4786" w:type="dxa"/>
          </w:tcPr>
          <w:p w:rsidR="00000000" w:rsidRDefault="00000000">
            <w:pPr>
              <w:spacing w:after="240"/>
              <w:rPr>
                <w:rFonts w:hint="eastAsia"/>
              </w:rPr>
            </w:pPr>
            <w:r>
              <w:rPr>
                <w:rFonts w:hint="eastAsia"/>
              </w:rPr>
              <w:t>75.95</w:t>
            </w:r>
          </w:p>
        </w:tc>
      </w:tr>
      <w:tr w:rsidR="00000000">
        <w:tblPrEx>
          <w:tblCellMar>
            <w:top w:w="0" w:type="dxa"/>
            <w:bottom w:w="0" w:type="dxa"/>
          </w:tblCellMar>
        </w:tblPrEx>
        <w:tc>
          <w:tcPr>
            <w:tcW w:w="4785" w:type="dxa"/>
          </w:tcPr>
          <w:p w:rsidR="00000000" w:rsidRDefault="00000000">
            <w:pPr>
              <w:ind w:left="1247"/>
              <w:rPr>
                <w:rFonts w:hint="eastAsia"/>
              </w:rPr>
            </w:pPr>
            <w:r>
              <w:rPr>
                <w:rFonts w:hint="eastAsia"/>
              </w:rPr>
              <w:t>1</w:t>
            </w:r>
            <w:r>
              <w:rPr>
                <w:rFonts w:hint="eastAsia"/>
              </w:rPr>
              <w:t>岁时预期寿命</w:t>
            </w:r>
          </w:p>
        </w:tc>
        <w:tc>
          <w:tcPr>
            <w:tcW w:w="4786" w:type="dxa"/>
          </w:tcPr>
          <w:p w:rsidR="00000000" w:rsidRDefault="00000000">
            <w:pPr>
              <w:rPr>
                <w:rFonts w:hint="eastAsia"/>
              </w:rPr>
            </w:pPr>
          </w:p>
        </w:tc>
      </w:tr>
      <w:tr w:rsidR="00000000">
        <w:tblPrEx>
          <w:tblCellMar>
            <w:top w:w="0" w:type="dxa"/>
            <w:bottom w:w="0" w:type="dxa"/>
          </w:tblCellMar>
        </w:tblPrEx>
        <w:tc>
          <w:tcPr>
            <w:tcW w:w="4785" w:type="dxa"/>
          </w:tcPr>
          <w:p w:rsidR="00000000" w:rsidRDefault="00000000">
            <w:pPr>
              <w:ind w:left="1247"/>
              <w:rPr>
                <w:rFonts w:hint="eastAsia"/>
              </w:rPr>
            </w:pPr>
            <w:r>
              <w:rPr>
                <w:rFonts w:hint="eastAsia"/>
              </w:rPr>
              <w:t>所有人</w:t>
            </w:r>
          </w:p>
        </w:tc>
        <w:tc>
          <w:tcPr>
            <w:tcW w:w="4786" w:type="dxa"/>
          </w:tcPr>
          <w:p w:rsidR="00000000" w:rsidRDefault="00000000">
            <w:pPr>
              <w:rPr>
                <w:rFonts w:hint="eastAsia"/>
              </w:rPr>
            </w:pPr>
            <w:r>
              <w:rPr>
                <w:rFonts w:hint="eastAsia"/>
              </w:rPr>
              <w:t>72.12</w:t>
            </w:r>
          </w:p>
        </w:tc>
      </w:tr>
      <w:tr w:rsidR="00000000">
        <w:tblPrEx>
          <w:tblCellMar>
            <w:top w:w="0" w:type="dxa"/>
            <w:bottom w:w="0" w:type="dxa"/>
          </w:tblCellMar>
        </w:tblPrEx>
        <w:tc>
          <w:tcPr>
            <w:tcW w:w="4785" w:type="dxa"/>
          </w:tcPr>
          <w:p w:rsidR="00000000" w:rsidRDefault="00000000">
            <w:pPr>
              <w:ind w:left="1247"/>
              <w:rPr>
                <w:rFonts w:hint="eastAsia"/>
              </w:rPr>
            </w:pPr>
            <w:r>
              <w:rPr>
                <w:rFonts w:hint="eastAsia"/>
              </w:rPr>
              <w:t>男性</w:t>
            </w:r>
          </w:p>
        </w:tc>
        <w:tc>
          <w:tcPr>
            <w:tcW w:w="4786" w:type="dxa"/>
          </w:tcPr>
          <w:p w:rsidR="00000000" w:rsidRDefault="00000000">
            <w:pPr>
              <w:rPr>
                <w:rFonts w:hint="eastAsia"/>
              </w:rPr>
            </w:pPr>
            <w:r>
              <w:rPr>
                <w:rFonts w:hint="eastAsia"/>
              </w:rPr>
              <w:t>68.46</w:t>
            </w:r>
          </w:p>
        </w:tc>
      </w:tr>
      <w:tr w:rsidR="00000000">
        <w:tblPrEx>
          <w:tblCellMar>
            <w:top w:w="0" w:type="dxa"/>
            <w:bottom w:w="0" w:type="dxa"/>
          </w:tblCellMar>
        </w:tblPrEx>
        <w:tc>
          <w:tcPr>
            <w:tcW w:w="4785" w:type="dxa"/>
          </w:tcPr>
          <w:p w:rsidR="00000000" w:rsidRDefault="00000000">
            <w:pPr>
              <w:ind w:left="1247"/>
              <w:rPr>
                <w:rFonts w:hint="eastAsia"/>
              </w:rPr>
            </w:pPr>
            <w:r>
              <w:rPr>
                <w:rFonts w:hint="eastAsia"/>
              </w:rPr>
              <w:t>女性</w:t>
            </w:r>
          </w:p>
        </w:tc>
        <w:tc>
          <w:tcPr>
            <w:tcW w:w="4786" w:type="dxa"/>
          </w:tcPr>
          <w:p w:rsidR="00000000" w:rsidRDefault="00000000">
            <w:pPr>
              <w:spacing w:after="240"/>
              <w:rPr>
                <w:rFonts w:hint="eastAsia"/>
              </w:rPr>
            </w:pPr>
            <w:r>
              <w:rPr>
                <w:rFonts w:hint="eastAsia"/>
              </w:rPr>
              <w:t>75.70</w:t>
            </w:r>
          </w:p>
        </w:tc>
      </w:tr>
      <w:tr w:rsidR="00000000">
        <w:tblPrEx>
          <w:tblCellMar>
            <w:top w:w="0" w:type="dxa"/>
            <w:bottom w:w="0" w:type="dxa"/>
          </w:tblCellMar>
        </w:tblPrEx>
        <w:tc>
          <w:tcPr>
            <w:tcW w:w="4785" w:type="dxa"/>
          </w:tcPr>
          <w:p w:rsidR="00000000" w:rsidRDefault="00000000">
            <w:pPr>
              <w:ind w:left="1247"/>
              <w:rPr>
                <w:rFonts w:hint="eastAsia"/>
              </w:rPr>
            </w:pPr>
            <w:r>
              <w:rPr>
                <w:rFonts w:hint="eastAsia"/>
              </w:rPr>
              <w:t>45</w:t>
            </w:r>
            <w:r>
              <w:rPr>
                <w:rFonts w:hint="eastAsia"/>
              </w:rPr>
              <w:t>岁时预期寿命</w:t>
            </w:r>
          </w:p>
        </w:tc>
        <w:tc>
          <w:tcPr>
            <w:tcW w:w="4786" w:type="dxa"/>
          </w:tcPr>
          <w:p w:rsidR="00000000" w:rsidRDefault="00000000">
            <w:pPr>
              <w:rPr>
                <w:rFonts w:hint="eastAsia"/>
              </w:rPr>
            </w:pPr>
          </w:p>
        </w:tc>
      </w:tr>
      <w:tr w:rsidR="00000000">
        <w:tblPrEx>
          <w:tblCellMar>
            <w:top w:w="0" w:type="dxa"/>
            <w:bottom w:w="0" w:type="dxa"/>
          </w:tblCellMar>
        </w:tblPrEx>
        <w:tc>
          <w:tcPr>
            <w:tcW w:w="4785" w:type="dxa"/>
          </w:tcPr>
          <w:p w:rsidR="00000000" w:rsidRDefault="00000000">
            <w:pPr>
              <w:ind w:left="1247"/>
              <w:rPr>
                <w:rFonts w:hint="eastAsia"/>
              </w:rPr>
            </w:pPr>
            <w:r>
              <w:rPr>
                <w:rFonts w:hint="eastAsia"/>
              </w:rPr>
              <w:t>所有人</w:t>
            </w:r>
          </w:p>
        </w:tc>
        <w:tc>
          <w:tcPr>
            <w:tcW w:w="4786" w:type="dxa"/>
          </w:tcPr>
          <w:p w:rsidR="00000000" w:rsidRDefault="00000000">
            <w:pPr>
              <w:rPr>
                <w:rFonts w:hint="eastAsia"/>
              </w:rPr>
            </w:pPr>
            <w:r>
              <w:rPr>
                <w:rFonts w:hint="eastAsia"/>
              </w:rPr>
              <w:t>30.19</w:t>
            </w:r>
          </w:p>
        </w:tc>
      </w:tr>
      <w:tr w:rsidR="00000000">
        <w:tblPrEx>
          <w:tblCellMar>
            <w:top w:w="0" w:type="dxa"/>
            <w:bottom w:w="0" w:type="dxa"/>
          </w:tblCellMar>
        </w:tblPrEx>
        <w:tc>
          <w:tcPr>
            <w:tcW w:w="4785" w:type="dxa"/>
          </w:tcPr>
          <w:p w:rsidR="00000000" w:rsidRDefault="00000000">
            <w:pPr>
              <w:ind w:left="1247"/>
              <w:rPr>
                <w:rFonts w:hint="eastAsia"/>
              </w:rPr>
            </w:pPr>
            <w:r>
              <w:rPr>
                <w:rFonts w:hint="eastAsia"/>
              </w:rPr>
              <w:t>男性</w:t>
            </w:r>
          </w:p>
        </w:tc>
        <w:tc>
          <w:tcPr>
            <w:tcW w:w="4786" w:type="dxa"/>
          </w:tcPr>
          <w:p w:rsidR="00000000" w:rsidRDefault="00000000">
            <w:pPr>
              <w:rPr>
                <w:rFonts w:hint="eastAsia"/>
              </w:rPr>
            </w:pPr>
            <w:r>
              <w:rPr>
                <w:rFonts w:hint="eastAsia"/>
              </w:rPr>
              <w:t>27.14</w:t>
            </w:r>
          </w:p>
        </w:tc>
      </w:tr>
      <w:tr w:rsidR="00000000">
        <w:tblPrEx>
          <w:tblCellMar>
            <w:top w:w="0" w:type="dxa"/>
            <w:bottom w:w="0" w:type="dxa"/>
          </w:tblCellMar>
        </w:tblPrEx>
        <w:tc>
          <w:tcPr>
            <w:tcW w:w="4785" w:type="dxa"/>
          </w:tcPr>
          <w:p w:rsidR="00000000" w:rsidRDefault="00000000">
            <w:pPr>
              <w:ind w:left="1247"/>
              <w:rPr>
                <w:rFonts w:hint="eastAsia"/>
              </w:rPr>
            </w:pPr>
            <w:r>
              <w:rPr>
                <w:rFonts w:hint="eastAsia"/>
              </w:rPr>
              <w:t>女性</w:t>
            </w:r>
          </w:p>
        </w:tc>
        <w:tc>
          <w:tcPr>
            <w:tcW w:w="4786" w:type="dxa"/>
          </w:tcPr>
          <w:p w:rsidR="00000000" w:rsidRDefault="00000000">
            <w:pPr>
              <w:spacing w:after="240"/>
              <w:rPr>
                <w:rFonts w:hint="eastAsia"/>
              </w:rPr>
            </w:pPr>
            <w:r>
              <w:rPr>
                <w:rFonts w:hint="eastAsia"/>
              </w:rPr>
              <w:t>32.98</w:t>
            </w:r>
          </w:p>
        </w:tc>
      </w:tr>
      <w:tr w:rsidR="00000000">
        <w:tblPrEx>
          <w:tblCellMar>
            <w:top w:w="0" w:type="dxa"/>
            <w:bottom w:w="0" w:type="dxa"/>
          </w:tblCellMar>
        </w:tblPrEx>
        <w:tc>
          <w:tcPr>
            <w:tcW w:w="4785" w:type="dxa"/>
          </w:tcPr>
          <w:p w:rsidR="00000000" w:rsidRDefault="00000000">
            <w:pPr>
              <w:ind w:left="1247"/>
              <w:rPr>
                <w:rFonts w:hint="eastAsia"/>
              </w:rPr>
            </w:pPr>
            <w:r>
              <w:rPr>
                <w:rFonts w:hint="eastAsia"/>
              </w:rPr>
              <w:t>65</w:t>
            </w:r>
            <w:r>
              <w:rPr>
                <w:rFonts w:hint="eastAsia"/>
              </w:rPr>
              <w:t>岁时预期寿命</w:t>
            </w:r>
          </w:p>
        </w:tc>
        <w:tc>
          <w:tcPr>
            <w:tcW w:w="4786" w:type="dxa"/>
          </w:tcPr>
          <w:p w:rsidR="00000000" w:rsidRDefault="00000000">
            <w:pPr>
              <w:rPr>
                <w:rFonts w:hint="eastAsia"/>
              </w:rPr>
            </w:pPr>
          </w:p>
        </w:tc>
      </w:tr>
      <w:tr w:rsidR="00000000">
        <w:tblPrEx>
          <w:tblCellMar>
            <w:top w:w="0" w:type="dxa"/>
            <w:bottom w:w="0" w:type="dxa"/>
          </w:tblCellMar>
        </w:tblPrEx>
        <w:tc>
          <w:tcPr>
            <w:tcW w:w="4785" w:type="dxa"/>
          </w:tcPr>
          <w:p w:rsidR="00000000" w:rsidRDefault="00000000">
            <w:pPr>
              <w:ind w:left="1247"/>
              <w:rPr>
                <w:rFonts w:hint="eastAsia"/>
              </w:rPr>
            </w:pPr>
            <w:r>
              <w:rPr>
                <w:rFonts w:hint="eastAsia"/>
              </w:rPr>
              <w:t>所有人</w:t>
            </w:r>
          </w:p>
        </w:tc>
        <w:tc>
          <w:tcPr>
            <w:tcW w:w="4786" w:type="dxa"/>
          </w:tcPr>
          <w:p w:rsidR="00000000" w:rsidRDefault="00000000">
            <w:pPr>
              <w:rPr>
                <w:rFonts w:hint="eastAsia"/>
              </w:rPr>
            </w:pPr>
            <w:r>
              <w:rPr>
                <w:rFonts w:hint="eastAsia"/>
              </w:rPr>
              <w:t>14.58</w:t>
            </w:r>
          </w:p>
        </w:tc>
      </w:tr>
      <w:tr w:rsidR="00000000">
        <w:tblPrEx>
          <w:tblCellMar>
            <w:top w:w="0" w:type="dxa"/>
            <w:bottom w:w="0" w:type="dxa"/>
          </w:tblCellMar>
        </w:tblPrEx>
        <w:tc>
          <w:tcPr>
            <w:tcW w:w="4785" w:type="dxa"/>
          </w:tcPr>
          <w:p w:rsidR="00000000" w:rsidRDefault="00000000">
            <w:pPr>
              <w:ind w:left="1247"/>
              <w:rPr>
                <w:rFonts w:hint="eastAsia"/>
              </w:rPr>
            </w:pPr>
            <w:r>
              <w:rPr>
                <w:rFonts w:hint="eastAsia"/>
              </w:rPr>
              <w:t>男性</w:t>
            </w:r>
          </w:p>
        </w:tc>
        <w:tc>
          <w:tcPr>
            <w:tcW w:w="4786" w:type="dxa"/>
          </w:tcPr>
          <w:p w:rsidR="00000000" w:rsidRDefault="00000000">
            <w:pPr>
              <w:rPr>
                <w:rFonts w:hint="eastAsia"/>
              </w:rPr>
            </w:pPr>
            <w:r>
              <w:rPr>
                <w:rFonts w:hint="eastAsia"/>
              </w:rPr>
              <w:t>12.83</w:t>
            </w:r>
          </w:p>
        </w:tc>
      </w:tr>
      <w:tr w:rsidR="00000000">
        <w:tblPrEx>
          <w:tblCellMar>
            <w:top w:w="0" w:type="dxa"/>
            <w:bottom w:w="0" w:type="dxa"/>
          </w:tblCellMar>
        </w:tblPrEx>
        <w:tc>
          <w:tcPr>
            <w:tcW w:w="4785" w:type="dxa"/>
          </w:tcPr>
          <w:p w:rsidR="00000000" w:rsidRDefault="00000000">
            <w:pPr>
              <w:ind w:left="1247"/>
              <w:rPr>
                <w:rFonts w:hint="eastAsia"/>
              </w:rPr>
            </w:pPr>
            <w:r>
              <w:rPr>
                <w:rFonts w:hint="eastAsia"/>
              </w:rPr>
              <w:t>女性</w:t>
            </w:r>
          </w:p>
        </w:tc>
        <w:tc>
          <w:tcPr>
            <w:tcW w:w="4786" w:type="dxa"/>
          </w:tcPr>
          <w:p w:rsidR="00000000" w:rsidRDefault="00000000">
            <w:pPr>
              <w:rPr>
                <w:rFonts w:hint="eastAsia"/>
              </w:rPr>
            </w:pPr>
            <w:r>
              <w:rPr>
                <w:rFonts w:hint="eastAsia"/>
              </w:rPr>
              <w:t>15.78</w:t>
            </w:r>
          </w:p>
        </w:tc>
      </w:tr>
    </w:tbl>
    <w:p w:rsidR="00000000" w:rsidRDefault="00000000">
      <w:pPr>
        <w:spacing w:before="240" w:after="240"/>
        <w:rPr>
          <w:rFonts w:eastAsia="KaiTi_GB2312"/>
          <w:spacing w:val="0"/>
        </w:rPr>
      </w:pPr>
      <w:r>
        <w:rPr>
          <w:rFonts w:eastAsia="KaiTi_GB2312" w:hint="eastAsia"/>
          <w:spacing w:val="0"/>
          <w:u w:val="single"/>
        </w:rPr>
        <w:t>资料来源</w:t>
      </w:r>
      <w:r>
        <w:rPr>
          <w:rFonts w:eastAsia="KaiTi_GB2312" w:hint="eastAsia"/>
          <w:spacing w:val="0"/>
        </w:rPr>
        <w:t>：国家统计局的资料。</w:t>
      </w:r>
    </w:p>
    <w:p w:rsidR="00000000" w:rsidRDefault="00000000">
      <w:r>
        <w:rPr>
          <w:rFonts w:hint="eastAsia"/>
        </w:rPr>
        <w:tab/>
        <w:t xml:space="preserve">374.  </w:t>
      </w:r>
      <w:r>
        <w:rPr>
          <w:rFonts w:hint="eastAsia"/>
        </w:rPr>
        <w:t>克罗地亚共和国对保健作的安排是，所有人能在步行或者以某种交通工具驾驶一小时之内的距离内得到初级保健方面的手术。</w:t>
      </w:r>
    </w:p>
    <w:p w:rsidR="00000000" w:rsidRDefault="00000000">
      <w:r>
        <w:rPr>
          <w:rFonts w:hint="eastAsia"/>
        </w:rPr>
        <w:tab/>
        <w:t xml:space="preserve">375.  </w:t>
      </w:r>
      <w:r>
        <w:rPr>
          <w:rFonts w:hint="eastAsia"/>
        </w:rPr>
        <w:t>所有孕妇在怀孕和生育期间均可获得免费保健。这种保健被安排在初级妇科手术室，门诊部和病房。</w:t>
      </w:r>
      <w:r>
        <w:rPr>
          <w:rFonts w:hint="eastAsia"/>
        </w:rPr>
        <w:t>99%</w:t>
      </w:r>
      <w:r>
        <w:rPr>
          <w:rFonts w:hint="eastAsia"/>
        </w:rPr>
        <w:t>是在医院的妇产科分娩；</w:t>
      </w:r>
      <w:r>
        <w:rPr>
          <w:rFonts w:hint="eastAsia"/>
        </w:rPr>
        <w:t>1998</w:t>
      </w:r>
      <w:r>
        <w:rPr>
          <w:rFonts w:hint="eastAsia"/>
        </w:rPr>
        <w:t>年，出生登记中有</w:t>
      </w:r>
      <w:r>
        <w:rPr>
          <w:rFonts w:hint="eastAsia"/>
        </w:rPr>
        <w:t>99.7%</w:t>
      </w:r>
      <w:r>
        <w:rPr>
          <w:rFonts w:hint="eastAsia"/>
        </w:rPr>
        <w:t>是在医院出生的，</w:t>
      </w:r>
      <w:r>
        <w:rPr>
          <w:rFonts w:hint="eastAsia"/>
        </w:rPr>
        <w:t>0.2%</w:t>
      </w:r>
      <w:r>
        <w:rPr>
          <w:rFonts w:hint="eastAsia"/>
        </w:rPr>
        <w:t>是在院外由专业人士助产的，不到</w:t>
      </w:r>
      <w:r>
        <w:rPr>
          <w:rFonts w:hint="eastAsia"/>
        </w:rPr>
        <w:t>0.1%</w:t>
      </w:r>
      <w:r>
        <w:rPr>
          <w:rFonts w:hint="eastAsia"/>
        </w:rPr>
        <w:t>没有专业人士助产。</w:t>
      </w:r>
    </w:p>
    <w:p w:rsidR="00000000" w:rsidRDefault="00000000">
      <w:r>
        <w:rPr>
          <w:rFonts w:hint="eastAsia"/>
        </w:rPr>
        <w:tab/>
        <w:t xml:space="preserve">376.  </w:t>
      </w:r>
      <w:r>
        <w:rPr>
          <w:rFonts w:hint="eastAsia"/>
        </w:rPr>
        <w:t>婴儿和学龄前儿童的保健由私人儿科医生负责</w:t>
      </w:r>
      <w:r>
        <w:rPr>
          <w:rFonts w:hint="eastAsia"/>
        </w:rPr>
        <w:t>(</w:t>
      </w:r>
      <w:r>
        <w:rPr>
          <w:rFonts w:hint="eastAsia"/>
        </w:rPr>
        <w:t>他们自有或租用手术室</w:t>
      </w:r>
      <w:r>
        <w:rPr>
          <w:rFonts w:hint="eastAsia"/>
        </w:rPr>
        <w:t>)</w:t>
      </w:r>
      <w:r>
        <w:rPr>
          <w:rFonts w:hint="eastAsia"/>
        </w:rPr>
        <w:t>，他们签订合同，向约</w:t>
      </w:r>
      <w:r>
        <w:rPr>
          <w:rFonts w:hint="eastAsia"/>
        </w:rPr>
        <w:t>70%</w:t>
      </w:r>
      <w:r>
        <w:rPr>
          <w:rFonts w:hint="eastAsia"/>
        </w:rPr>
        <w:t>的儿童提供保健。</w:t>
      </w:r>
    </w:p>
    <w:p w:rsidR="00000000" w:rsidRDefault="00000000">
      <w:r>
        <w:rPr>
          <w:rFonts w:hint="eastAsia"/>
        </w:rPr>
        <w:tab/>
        <w:t xml:space="preserve">377.  </w:t>
      </w:r>
      <w:r>
        <w:rPr>
          <w:rFonts w:hint="eastAsia"/>
        </w:rPr>
        <w:t>所有克罗地亚公民，不管老幼、男女、信仰或族裔，均能确保得到基本的医疗保险，克罗地亚保健总战略的目标是，制定政策并通过保健系统和与其他部门合作实行这种政策，确保所有人口最大程度的健康，遵守卫生组织全球战略的原则。</w:t>
      </w:r>
    </w:p>
    <w:p w:rsidR="00000000" w:rsidRDefault="00000000">
      <w:r>
        <w:rPr>
          <w:rFonts w:hint="eastAsia"/>
        </w:rPr>
        <w:tab/>
        <w:t xml:space="preserve">378.  </w:t>
      </w:r>
      <w:r>
        <w:rPr>
          <w:rFonts w:hint="eastAsia"/>
        </w:rPr>
        <w:t>多瑙河地区近期的数据得不到，因此这次不能提供。由于认识到这种状况，该地区的社会保健服务目前正在重组和发展，使之能够被记入克罗地亚的平均数中。此外还编制了若干项目，由克罗地亚政府供资，世界银行贷款，很可能还有国际社会的援助。基本目标是，在尽短的时期内创造条件，提供与整个克罗地亚的条件完全相同的保健，从而逐渐增强该地区人口的健康状况。</w:t>
      </w:r>
    </w:p>
    <w:p w:rsidR="00000000" w:rsidRDefault="00000000">
      <w:r>
        <w:rPr>
          <w:rFonts w:hint="eastAsia"/>
        </w:rPr>
        <w:tab/>
        <w:t xml:space="preserve">379.  </w:t>
      </w:r>
      <w:r>
        <w:rPr>
          <w:rFonts w:hint="eastAsia"/>
        </w:rPr>
        <w:t>防止环境和健康受到有毒物质的威胁被认为当作健康和生活质量的一个根本性的前提条件。《克罗地亚宪法》明确声明这是公民拥有的健康环境权，这项权利也载入了关于单项领域的环境保护和人的健康保护的许多法律和章程，如《环境保护法》、《空气保护法》、《废掉法》、《健康保护法》、《保护人口免于传染病法》、《关于食品和通用物品安全和卫生监督的法律》、《防止致电离辐射法》、《有毒物质法》等等。保护健康环境和人口健康，防止环境中的有害因素方面的预防效果可以在“</w:t>
      </w:r>
      <w:r>
        <w:rPr>
          <w:rFonts w:hint="eastAsia"/>
        </w:rPr>
        <w:t>2005</w:t>
      </w:r>
      <w:r>
        <w:rPr>
          <w:rFonts w:hint="eastAsia"/>
        </w:rPr>
        <w:t>年前增强所有人的健康”和“全国环境和卫生行动计划”等政策战略文书明显看出，这些文书的基本宗旨是，“有效控制、评估和预防一般环境和工作环境中有害健康的所有因素，推广有益于健康的行为和技术”。</w:t>
      </w:r>
    </w:p>
    <w:p w:rsidR="00000000" w:rsidRDefault="00000000">
      <w:r>
        <w:rPr>
          <w:rFonts w:hint="eastAsia"/>
        </w:rPr>
        <w:tab/>
        <w:t xml:space="preserve">380.  </w:t>
      </w:r>
      <w:r>
        <w:rPr>
          <w:rFonts w:hint="eastAsia"/>
        </w:rPr>
        <w:t>此外，克罗地亚共和国还积极参加关于环境保护和清除对人的健康产生有害影响的因素方面的许多国际议定书和公约。</w:t>
      </w:r>
    </w:p>
    <w:p w:rsidR="00000000" w:rsidRDefault="00000000">
      <w:pPr>
        <w:rPr>
          <w:rFonts w:hint="eastAsia"/>
        </w:rPr>
      </w:pPr>
      <w:r>
        <w:rPr>
          <w:rFonts w:hint="eastAsia"/>
        </w:rPr>
        <w:tab/>
        <w:t xml:space="preserve">381.  </w:t>
      </w:r>
      <w:r>
        <w:rPr>
          <w:rFonts w:hint="eastAsia"/>
        </w:rPr>
        <w:t>为了预防和控制传染病和其他疾病，克罗地亚根据《卫生保护法》设立了一个公共卫生研究所网络，有所有郡参加，克罗地亚公共卫生研究所监督和协调它们的工作。在这些研究所中建立了流行病小组</w:t>
      </w:r>
      <w:r>
        <w:rPr>
          <w:rFonts w:hint="eastAsia"/>
        </w:rPr>
        <w:t>(</w:t>
      </w:r>
      <w:r>
        <w:rPr>
          <w:rFonts w:hint="eastAsia"/>
        </w:rPr>
        <w:t>约有</w:t>
      </w:r>
      <w:r>
        <w:rPr>
          <w:rFonts w:hint="eastAsia"/>
        </w:rPr>
        <w:t>100</w:t>
      </w:r>
      <w:r>
        <w:rPr>
          <w:rFonts w:hint="eastAsia"/>
        </w:rPr>
        <w:t>个，即每</w:t>
      </w:r>
      <w:r>
        <w:rPr>
          <w:rFonts w:hint="eastAsia"/>
        </w:rPr>
        <w:t>50,000</w:t>
      </w:r>
      <w:r>
        <w:rPr>
          <w:rFonts w:hint="eastAsia"/>
        </w:rPr>
        <w:t>名居民中有一个小组</w:t>
      </w:r>
      <w:r>
        <w:rPr>
          <w:rFonts w:hint="eastAsia"/>
        </w:rPr>
        <w:t>)</w:t>
      </w:r>
      <w:r>
        <w:rPr>
          <w:rFonts w:hint="eastAsia"/>
        </w:rPr>
        <w:t>。对传染病的监督有大量的法律作规定，例如义务登记传染病、义务接种、对在食品业、学校和卫生机构工作的人实行义务监督和教育、卫生检查关、在医院监督感染、水质控制等等方面的法律。以下例子最能说明上述措施的结果：</w:t>
      </w:r>
    </w:p>
    <w:p w:rsidR="00000000" w:rsidRDefault="00000000">
      <w:pPr>
        <w:pStyle w:val="a5"/>
        <w:rPr>
          <w:rFonts w:hint="eastAsia"/>
        </w:rPr>
      </w:pPr>
      <w:r>
        <w:t>(a)</w:t>
      </w:r>
      <w:r>
        <w:tab/>
      </w:r>
      <w:r>
        <w:rPr>
          <w:rFonts w:hint="eastAsia"/>
        </w:rPr>
        <w:t>疟疾曾流行于国内大多数地区，于</w:t>
      </w:r>
      <w:r>
        <w:rPr>
          <w:rFonts w:hint="eastAsia"/>
        </w:rPr>
        <w:t>1956</w:t>
      </w:r>
      <w:r>
        <w:rPr>
          <w:rFonts w:hint="eastAsia"/>
        </w:rPr>
        <w:t>年被根除；</w:t>
      </w:r>
    </w:p>
    <w:p w:rsidR="00000000" w:rsidRDefault="00000000">
      <w:pPr>
        <w:pStyle w:val="a5"/>
      </w:pPr>
      <w:r>
        <w:t>(b)</w:t>
      </w:r>
      <w:r>
        <w:tab/>
      </w:r>
      <w:r>
        <w:rPr>
          <w:rFonts w:hint="eastAsia"/>
        </w:rPr>
        <w:t>记载的最后一例白喉病例是在</w:t>
      </w:r>
      <w:r>
        <w:rPr>
          <w:rFonts w:hint="eastAsia"/>
        </w:rPr>
        <w:t>1974</w:t>
      </w:r>
      <w:r>
        <w:rPr>
          <w:rFonts w:hint="eastAsia"/>
        </w:rPr>
        <w:t>年；</w:t>
      </w:r>
    </w:p>
    <w:p w:rsidR="00000000" w:rsidRDefault="00000000">
      <w:pPr>
        <w:pStyle w:val="a5"/>
        <w:rPr>
          <w:rFonts w:hint="eastAsia"/>
        </w:rPr>
      </w:pPr>
      <w:r>
        <w:t>(c)</w:t>
      </w:r>
      <w:r>
        <w:tab/>
      </w:r>
      <w:r>
        <w:rPr>
          <w:rFonts w:hint="eastAsia"/>
        </w:rPr>
        <w:t>记载的最后一例小儿麻痹症是在</w:t>
      </w:r>
      <w:r>
        <w:rPr>
          <w:rFonts w:hint="eastAsia"/>
        </w:rPr>
        <w:t>1989</w:t>
      </w:r>
      <w:r>
        <w:rPr>
          <w:rFonts w:hint="eastAsia"/>
        </w:rPr>
        <w:t>年；</w:t>
      </w:r>
    </w:p>
    <w:p w:rsidR="00000000" w:rsidRDefault="00000000">
      <w:pPr>
        <w:pStyle w:val="a5"/>
        <w:rPr>
          <w:rFonts w:hint="eastAsia"/>
        </w:rPr>
      </w:pPr>
      <w:r>
        <w:t>(d)</w:t>
      </w:r>
      <w:r>
        <w:tab/>
      </w:r>
      <w:r>
        <w:rPr>
          <w:rFonts w:hint="eastAsia"/>
        </w:rPr>
        <w:t>1989</w:t>
      </w:r>
      <w:r>
        <w:rPr>
          <w:rFonts w:hint="eastAsia"/>
        </w:rPr>
        <w:t>年只记录了一例斑疹伤寒的病例；</w:t>
      </w:r>
    </w:p>
    <w:p w:rsidR="00000000" w:rsidRDefault="00000000">
      <w:pPr>
        <w:pStyle w:val="a5"/>
        <w:rPr>
          <w:rFonts w:hint="eastAsia"/>
        </w:rPr>
      </w:pPr>
      <w:r>
        <w:t>(e)</w:t>
      </w:r>
      <w:r>
        <w:tab/>
      </w:r>
      <w:r>
        <w:rPr>
          <w:rFonts w:hint="eastAsia"/>
        </w:rPr>
        <w:t>艾滋病在人口中的比例达到</w:t>
      </w:r>
      <w:r>
        <w:rPr>
          <w:rFonts w:hint="eastAsia"/>
        </w:rPr>
        <w:t>29/1,000,000</w:t>
      </w:r>
      <w:r>
        <w:rPr>
          <w:rFonts w:hint="eastAsia"/>
        </w:rPr>
        <w:t>；</w:t>
      </w:r>
    </w:p>
    <w:p w:rsidR="00000000" w:rsidRDefault="00000000">
      <w:pPr>
        <w:pStyle w:val="a5"/>
      </w:pPr>
      <w:r>
        <w:t>(f)</w:t>
      </w:r>
      <w:r>
        <w:tab/>
      </w:r>
      <w:r>
        <w:rPr>
          <w:rFonts w:hint="eastAsia"/>
        </w:rPr>
        <w:t>白百破、小儿麻痹和麻疹</w:t>
      </w:r>
      <w:r>
        <w:rPr>
          <w:rFonts w:hint="eastAsia"/>
          <w:spacing w:val="-40"/>
          <w:sz w:val="22"/>
        </w:rPr>
        <w:t>——</w:t>
      </w:r>
      <w:r>
        <w:rPr>
          <w:sz w:val="22"/>
        </w:rPr>
        <w:t xml:space="preserve"> </w:t>
      </w:r>
      <w:r>
        <w:rPr>
          <w:rFonts w:hint="eastAsia"/>
        </w:rPr>
        <w:t>腮腺炎</w:t>
      </w:r>
      <w:r>
        <w:rPr>
          <w:rFonts w:hint="eastAsia"/>
          <w:spacing w:val="-40"/>
          <w:sz w:val="22"/>
        </w:rPr>
        <w:t>——</w:t>
      </w:r>
      <w:r>
        <w:rPr>
          <w:sz w:val="22"/>
        </w:rPr>
        <w:t xml:space="preserve"> </w:t>
      </w:r>
      <w:r>
        <w:rPr>
          <w:rFonts w:hint="eastAsia"/>
        </w:rPr>
        <w:t>风疹疫苗的初期注射已达到</w:t>
      </w:r>
      <w:r>
        <w:rPr>
          <w:rFonts w:hint="eastAsia"/>
        </w:rPr>
        <w:t>90%</w:t>
      </w:r>
      <w:r>
        <w:rPr>
          <w:rFonts w:hint="eastAsia"/>
        </w:rPr>
        <w:t>以上的覆盖率。</w:t>
      </w:r>
    </w:p>
    <w:p w:rsidR="00000000" w:rsidRDefault="00000000">
      <w:r>
        <w:rPr>
          <w:rFonts w:hint="eastAsia"/>
        </w:rPr>
        <w:tab/>
        <w:t xml:space="preserve">382.  </w:t>
      </w:r>
      <w:r>
        <w:rPr>
          <w:rFonts w:hint="eastAsia"/>
        </w:rPr>
        <w:t>职业病预防和工作防护有《健康保护法》和《工作防护法》以及整套的规章作规定，其中最重要的是关于工作条件特殊的职业的规章、关于妇女不宜的职业的规章、关于确定危险评估的规章、关于向工作过程中的工人提供急救的规章等等。克罗地亚大多数郡都有职业病医疗队，它们根据工作和环境方面的保健措施从事具体的保健工作。雇主负责采取具体的保健和防护措施，并承担职业病和工伤事故的费用。克罗地亚医学研究所的建立是为了计划，提出和执行各种措施的方案，协调并在专业上监督职业病医疗。</w:t>
      </w:r>
    </w:p>
    <w:p w:rsidR="00000000" w:rsidRDefault="00000000">
      <w:r>
        <w:rPr>
          <w:rFonts w:hint="eastAsia"/>
        </w:rPr>
        <w:tab/>
        <w:t xml:space="preserve">383.  </w:t>
      </w:r>
      <w:r>
        <w:rPr>
          <w:rFonts w:hint="eastAsia"/>
        </w:rPr>
        <w:t>克罗地亚共和国每一名公民的基本保健权得到宪法的保障。《</w:t>
      </w:r>
      <w:r>
        <w:rPr>
          <w:rFonts w:hint="eastAsia"/>
        </w:rPr>
        <w:t>1994</w:t>
      </w:r>
      <w:r>
        <w:rPr>
          <w:rFonts w:hint="eastAsia"/>
        </w:rPr>
        <w:t>年卫生保护和医疗保险法》对保健采取了一种新的办法，奠定了进一步发展保健的基础。</w:t>
      </w:r>
    </w:p>
    <w:p w:rsidR="00000000" w:rsidRDefault="00000000">
      <w:r>
        <w:rPr>
          <w:rFonts w:hint="eastAsia"/>
        </w:rPr>
        <w:tab/>
        <w:t xml:space="preserve">384.  </w:t>
      </w:r>
      <w:r>
        <w:rPr>
          <w:rFonts w:hint="eastAsia"/>
        </w:rPr>
        <w:t>新立法允许私人行医，设立私人机构，在国家保险的同时实行额外和补充医疗保险，该立法规定，保健实行的是全包、连续、可获得和综合办法等措施。在提供保健服务方面能够对市场竞争作管制，国家对监督某几类弱势群体</w:t>
      </w:r>
      <w:r>
        <w:rPr>
          <w:rFonts w:hint="eastAsia"/>
        </w:rPr>
        <w:t>(</w:t>
      </w:r>
      <w:r>
        <w:rPr>
          <w:rFonts w:hint="eastAsia"/>
        </w:rPr>
        <w:t>孕妇、</w:t>
      </w:r>
      <w:r>
        <w:rPr>
          <w:rFonts w:hint="eastAsia"/>
        </w:rPr>
        <w:t>18</w:t>
      </w:r>
      <w:r>
        <w:rPr>
          <w:rFonts w:hint="eastAsia"/>
        </w:rPr>
        <w:t>岁以下的儿童、</w:t>
      </w:r>
      <w:r>
        <w:rPr>
          <w:rFonts w:hint="eastAsia"/>
        </w:rPr>
        <w:t>65</w:t>
      </w:r>
      <w:r>
        <w:rPr>
          <w:rFonts w:hint="eastAsia"/>
        </w:rPr>
        <w:t>岁以上的人、残疾人</w:t>
      </w:r>
      <w:r>
        <w:rPr>
          <w:rFonts w:hint="eastAsia"/>
        </w:rPr>
        <w:t>)</w:t>
      </w:r>
      <w:r>
        <w:rPr>
          <w:rFonts w:hint="eastAsia"/>
        </w:rPr>
        <w:t>的保健和若干公共卫生问题</w:t>
      </w:r>
      <w:r>
        <w:rPr>
          <w:rFonts w:hint="eastAsia"/>
        </w:rPr>
        <w:t>(</w:t>
      </w:r>
      <w:r>
        <w:rPr>
          <w:rFonts w:hint="eastAsia"/>
        </w:rPr>
        <w:t>传染病和慢性非传染病</w:t>
      </w:r>
      <w:r>
        <w:rPr>
          <w:rFonts w:hint="eastAsia"/>
        </w:rPr>
        <w:t>)</w:t>
      </w:r>
      <w:r>
        <w:rPr>
          <w:rFonts w:hint="eastAsia"/>
        </w:rPr>
        <w:t>保留着主导作用。</w:t>
      </w:r>
    </w:p>
    <w:p w:rsidR="00000000" w:rsidRDefault="00000000">
      <w:r>
        <w:rPr>
          <w:rFonts w:hint="eastAsia"/>
        </w:rPr>
        <w:tab/>
        <w:t xml:space="preserve">385.  </w:t>
      </w:r>
      <w:r>
        <w:rPr>
          <w:rFonts w:hint="eastAsia"/>
        </w:rPr>
        <w:t>卫生部负责监督保健融资系统和保健系统的费用，并与医疗协会合作提供高质量保健。</w:t>
      </w:r>
    </w:p>
    <w:p w:rsidR="00000000" w:rsidRDefault="00000000">
      <w:r>
        <w:rPr>
          <w:rFonts w:hint="eastAsia"/>
        </w:rPr>
        <w:tab/>
        <w:t xml:space="preserve">386.  </w:t>
      </w:r>
      <w:r>
        <w:rPr>
          <w:rFonts w:hint="eastAsia"/>
        </w:rPr>
        <w:t>在实行私有化的同时遵守克罗地亚保健发展的基本任务范围：平等享受保健，向人人提供国家级的基本医疗保险，不管市场机制如何，保持各部分卫生职业的连续性。</w:t>
      </w:r>
    </w:p>
    <w:p w:rsidR="00000000" w:rsidRDefault="00000000">
      <w:r>
        <w:rPr>
          <w:rFonts w:hint="eastAsia"/>
        </w:rPr>
        <w:tab/>
        <w:t xml:space="preserve">387.  </w:t>
      </w:r>
      <w:r>
        <w:rPr>
          <w:rFonts w:hint="eastAsia"/>
        </w:rPr>
        <w:t>根据卫生组织的标准对克罗地亚共和国人民的健康状况所作的评估表明，尽管对克罗地亚的侵略造成了严重后果，尽管现有的保健资源大幅度减少，但是，总体上的健康指标不仅保持了下来，而且在有些部分有所改善。</w:t>
      </w:r>
    </w:p>
    <w:p w:rsidR="00000000" w:rsidRDefault="00000000">
      <w:r>
        <w:rPr>
          <w:rFonts w:hint="eastAsia"/>
        </w:rPr>
        <w:tab/>
        <w:t>388.  1998</w:t>
      </w:r>
      <w:r>
        <w:rPr>
          <w:rFonts w:hint="eastAsia"/>
        </w:rPr>
        <w:t>年，到诊所就诊的人数为</w:t>
      </w:r>
      <w:r>
        <w:rPr>
          <w:rFonts w:hint="eastAsia"/>
        </w:rPr>
        <w:t>15,666,797</w:t>
      </w:r>
      <w:r>
        <w:rPr>
          <w:rFonts w:hint="eastAsia"/>
        </w:rPr>
        <w:t>；医生上门就诊的次数为</w:t>
      </w:r>
      <w:r>
        <w:rPr>
          <w:rFonts w:hint="eastAsia"/>
        </w:rPr>
        <w:t>283,931</w:t>
      </w:r>
      <w:r>
        <w:rPr>
          <w:rFonts w:hint="eastAsia"/>
        </w:rPr>
        <w:t>次，其他保健专业人员上门就诊的次数为</w:t>
      </w:r>
      <w:r>
        <w:rPr>
          <w:rFonts w:hint="eastAsia"/>
        </w:rPr>
        <w:t>70,789</w:t>
      </w:r>
      <w:r>
        <w:rPr>
          <w:rFonts w:hint="eastAsia"/>
        </w:rPr>
        <w:t>次。在普通诊所，最常见病是呼吸道疾病，其次是心脏和循环系统疾病、肌骨胳系统、神经系统和官能系统等等的疾病。</w:t>
      </w:r>
    </w:p>
    <w:p w:rsidR="00000000" w:rsidRDefault="00000000">
      <w:r>
        <w:rPr>
          <w:rFonts w:hint="eastAsia"/>
        </w:rPr>
        <w:tab/>
        <w:t xml:space="preserve">389.  </w:t>
      </w:r>
      <w:r>
        <w:rPr>
          <w:rFonts w:hint="eastAsia"/>
        </w:rPr>
        <w:t>婴儿和幼小儿童的保健服务负责</w:t>
      </w:r>
      <w:r>
        <w:rPr>
          <w:rFonts w:hint="eastAsia"/>
        </w:rPr>
        <w:t>70%</w:t>
      </w:r>
      <w:r>
        <w:rPr>
          <w:rFonts w:hint="eastAsia"/>
        </w:rPr>
        <w:t>的</w:t>
      </w:r>
      <w:r>
        <w:rPr>
          <w:rFonts w:hint="eastAsia"/>
        </w:rPr>
        <w:t>0-6</w:t>
      </w:r>
      <w:r>
        <w:rPr>
          <w:rFonts w:hint="eastAsia"/>
        </w:rPr>
        <w:t>岁儿童，其他学龄前儿童由初级保健系统的其他医生负责。据记载，</w:t>
      </w:r>
      <w:r>
        <w:rPr>
          <w:rFonts w:hint="eastAsia"/>
        </w:rPr>
        <w:t>1998</w:t>
      </w:r>
      <w:r>
        <w:rPr>
          <w:rFonts w:hint="eastAsia"/>
        </w:rPr>
        <w:t>年到诊所就诊的人次为</w:t>
      </w:r>
      <w:r>
        <w:rPr>
          <w:rFonts w:hint="eastAsia"/>
        </w:rPr>
        <w:t>2,676,296,</w:t>
      </w:r>
      <w:r>
        <w:rPr>
          <w:rFonts w:hint="eastAsia"/>
        </w:rPr>
        <w:t>其中</w:t>
      </w:r>
      <w:r>
        <w:rPr>
          <w:rFonts w:hint="eastAsia"/>
        </w:rPr>
        <w:t>2,188,242</w:t>
      </w:r>
      <w:r>
        <w:rPr>
          <w:rFonts w:hint="eastAsia"/>
        </w:rPr>
        <w:t>次为体检。同期有</w:t>
      </w:r>
      <w:r>
        <w:rPr>
          <w:rFonts w:hint="eastAsia"/>
        </w:rPr>
        <w:t>3,146</w:t>
      </w:r>
      <w:r>
        <w:rPr>
          <w:rFonts w:hint="eastAsia"/>
        </w:rPr>
        <w:t>次上门出诊，在防病治病方面，据记载有</w:t>
      </w:r>
      <w:r>
        <w:rPr>
          <w:rFonts w:hint="eastAsia"/>
        </w:rPr>
        <w:t>460,831</w:t>
      </w:r>
      <w:r>
        <w:rPr>
          <w:rFonts w:hint="eastAsia"/>
        </w:rPr>
        <w:t>次防病就诊，其中</w:t>
      </w:r>
      <w:r>
        <w:rPr>
          <w:rFonts w:hint="eastAsia"/>
        </w:rPr>
        <w:t>273,912</w:t>
      </w:r>
      <w:r>
        <w:rPr>
          <w:rFonts w:hint="eastAsia"/>
        </w:rPr>
        <w:t>次是系统检查</w:t>
      </w:r>
      <w:r>
        <w:rPr>
          <w:rFonts w:hint="eastAsia"/>
        </w:rPr>
        <w:t>(143,986</w:t>
      </w:r>
      <w:r>
        <w:rPr>
          <w:rFonts w:hint="eastAsia"/>
        </w:rPr>
        <w:t>次为婴儿的系统检查，</w:t>
      </w:r>
      <w:r>
        <w:rPr>
          <w:rFonts w:hint="eastAsia"/>
        </w:rPr>
        <w:t>129,926</w:t>
      </w:r>
      <w:r>
        <w:rPr>
          <w:rFonts w:hint="eastAsia"/>
        </w:rPr>
        <w:t>次为幼小儿童的系统检查</w:t>
      </w:r>
      <w:r>
        <w:rPr>
          <w:rFonts w:hint="eastAsia"/>
        </w:rPr>
        <w:t>)</w:t>
      </w:r>
      <w:r>
        <w:rPr>
          <w:rFonts w:hint="eastAsia"/>
        </w:rPr>
        <w:t>。诊所作了</w:t>
      </w:r>
      <w:r>
        <w:rPr>
          <w:rFonts w:hint="eastAsia"/>
        </w:rPr>
        <w:t>1,263,260</w:t>
      </w:r>
      <w:r>
        <w:rPr>
          <w:rFonts w:hint="eastAsia"/>
        </w:rPr>
        <w:t>次诊断，其中最常见的是呼吸道疾病</w:t>
      </w:r>
      <w:r>
        <w:rPr>
          <w:rFonts w:hint="eastAsia"/>
        </w:rPr>
        <w:t>(54%)</w:t>
      </w:r>
      <w:r>
        <w:rPr>
          <w:rFonts w:hint="eastAsia"/>
        </w:rPr>
        <w:t>，其次是传染病和寄生虫病、耳炎和乳突炎和其他疾病。</w:t>
      </w:r>
    </w:p>
    <w:p w:rsidR="00000000" w:rsidRDefault="00000000">
      <w:r>
        <w:rPr>
          <w:rFonts w:hint="eastAsia"/>
        </w:rPr>
        <w:tab/>
        <w:t xml:space="preserve">390.  </w:t>
      </w:r>
      <w:r>
        <w:rPr>
          <w:rFonts w:hint="eastAsia"/>
        </w:rPr>
        <w:t>克罗地亚共和国从</w:t>
      </w:r>
      <w:r>
        <w:rPr>
          <w:rFonts w:hint="eastAsia"/>
        </w:rPr>
        <w:t>1998</w:t>
      </w:r>
      <w:r>
        <w:rPr>
          <w:rFonts w:hint="eastAsia"/>
        </w:rPr>
        <w:t>年底在公共卫生系统中组织学校医疗，作为负责就学龄期儿童和青年人的健康保护采取预防和具体措施的一个部门。它的基本工作方案按照国家一级的《健康保护措施方案》。由一名学校专业医生和护士组成的医疗组全面负责约</w:t>
      </w:r>
      <w:r>
        <w:rPr>
          <w:rFonts w:hint="eastAsia"/>
        </w:rPr>
        <w:t>5,000</w:t>
      </w:r>
      <w:r>
        <w:rPr>
          <w:rFonts w:hint="eastAsia"/>
        </w:rPr>
        <w:t>名学龄期儿童。在</w:t>
      </w:r>
      <w:r>
        <w:rPr>
          <w:rFonts w:hint="eastAsia"/>
        </w:rPr>
        <w:t>1998/99</w:t>
      </w:r>
      <w:r>
        <w:rPr>
          <w:rFonts w:hint="eastAsia"/>
        </w:rPr>
        <w:t>学年，克罗地亚小学有</w:t>
      </w:r>
      <w:r>
        <w:rPr>
          <w:rFonts w:hint="eastAsia"/>
        </w:rPr>
        <w:t>420,652</w:t>
      </w:r>
      <w:r>
        <w:rPr>
          <w:rFonts w:hint="eastAsia"/>
        </w:rPr>
        <w:t>名学生，中学有</w:t>
      </w:r>
      <w:r>
        <w:rPr>
          <w:rFonts w:hint="eastAsia"/>
        </w:rPr>
        <w:t>196,380</w:t>
      </w:r>
      <w:r>
        <w:rPr>
          <w:rFonts w:hint="eastAsia"/>
        </w:rPr>
        <w:t>名学生。该学年的学校卫生部门作了</w:t>
      </w:r>
      <w:r>
        <w:rPr>
          <w:rFonts w:hint="eastAsia"/>
        </w:rPr>
        <w:t>182,219</w:t>
      </w:r>
      <w:r>
        <w:rPr>
          <w:rFonts w:hint="eastAsia"/>
        </w:rPr>
        <w:t>次系统检查，</w:t>
      </w:r>
      <w:r>
        <w:rPr>
          <w:rFonts w:hint="eastAsia"/>
        </w:rPr>
        <w:t>24,091</w:t>
      </w:r>
      <w:r>
        <w:rPr>
          <w:rFonts w:hint="eastAsia"/>
        </w:rPr>
        <w:t>次控制和</w:t>
      </w:r>
      <w:r>
        <w:rPr>
          <w:rFonts w:hint="eastAsia"/>
        </w:rPr>
        <w:t>173,810</w:t>
      </w:r>
      <w:r>
        <w:rPr>
          <w:rFonts w:hint="eastAsia"/>
        </w:rPr>
        <w:t>次具体检查，</w:t>
      </w:r>
      <w:r>
        <w:rPr>
          <w:rFonts w:hint="eastAsia"/>
        </w:rPr>
        <w:t>163,545</w:t>
      </w:r>
      <w:r>
        <w:rPr>
          <w:rFonts w:hint="eastAsia"/>
        </w:rPr>
        <w:t>次萤光屏检查，负责儿童和</w:t>
      </w:r>
      <w:r>
        <w:rPr>
          <w:rFonts w:hint="eastAsia"/>
        </w:rPr>
        <w:t>36,685</w:t>
      </w:r>
      <w:r>
        <w:rPr>
          <w:rFonts w:hint="eastAsia"/>
        </w:rPr>
        <w:t>名学生、</w:t>
      </w:r>
      <w:r>
        <w:rPr>
          <w:rFonts w:hint="eastAsia"/>
        </w:rPr>
        <w:t>21,799</w:t>
      </w:r>
      <w:r>
        <w:rPr>
          <w:rFonts w:hint="eastAsia"/>
        </w:rPr>
        <w:t>名病人和其他家庭成员、</w:t>
      </w:r>
      <w:r>
        <w:rPr>
          <w:rFonts w:hint="eastAsia"/>
        </w:rPr>
        <w:t>13,272</w:t>
      </w:r>
      <w:r>
        <w:rPr>
          <w:rFonts w:hint="eastAsia"/>
        </w:rPr>
        <w:t>名教师和另外</w:t>
      </w:r>
      <w:r>
        <w:rPr>
          <w:rFonts w:hint="eastAsia"/>
        </w:rPr>
        <w:t>6,096</w:t>
      </w:r>
      <w:r>
        <w:rPr>
          <w:rFonts w:hint="eastAsia"/>
        </w:rPr>
        <w:t>人的咨询中心在学校诊所访问年轻人。通过讲座、讲习班、会议和其他活动开展的卫生教育有</w:t>
      </w:r>
      <w:r>
        <w:rPr>
          <w:rFonts w:hint="eastAsia"/>
        </w:rPr>
        <w:t>197,9443</w:t>
      </w:r>
      <w:r>
        <w:rPr>
          <w:rFonts w:hint="eastAsia"/>
        </w:rPr>
        <w:t>名小学生和</w:t>
      </w:r>
      <w:r>
        <w:rPr>
          <w:rFonts w:hint="eastAsia"/>
        </w:rPr>
        <w:t>66,515</w:t>
      </w:r>
      <w:r>
        <w:rPr>
          <w:rFonts w:hint="eastAsia"/>
        </w:rPr>
        <w:t>名中学生参加。</w:t>
      </w:r>
    </w:p>
    <w:p w:rsidR="00000000" w:rsidRDefault="00000000">
      <w:r>
        <w:rPr>
          <w:rFonts w:hint="eastAsia"/>
        </w:rPr>
        <w:tab/>
        <w:t xml:space="preserve">391.  </w:t>
      </w:r>
      <w:r>
        <w:rPr>
          <w:rFonts w:hint="eastAsia"/>
        </w:rPr>
        <w:t>根据系统检查的结果，</w:t>
      </w:r>
      <w:r>
        <w:rPr>
          <w:rFonts w:hint="eastAsia"/>
        </w:rPr>
        <w:t>7%</w:t>
      </w:r>
      <w:r>
        <w:rPr>
          <w:rFonts w:hint="eastAsia"/>
        </w:rPr>
        <w:t>的小学生与他们的身高相比体重超重，约</w:t>
      </w:r>
      <w:r>
        <w:rPr>
          <w:rFonts w:hint="eastAsia"/>
        </w:rPr>
        <w:t>5%</w:t>
      </w:r>
      <w:r>
        <w:rPr>
          <w:rFonts w:hint="eastAsia"/>
        </w:rPr>
        <w:t>的体重低于正常</w:t>
      </w:r>
      <w:r>
        <w:rPr>
          <w:rFonts w:hint="eastAsia"/>
        </w:rPr>
        <w:t>(</w:t>
      </w:r>
      <w:r>
        <w:rPr>
          <w:rFonts w:hint="eastAsia"/>
        </w:rPr>
        <w:t>凝血霉时间</w:t>
      </w:r>
      <w:r>
        <w:rPr>
          <w:rFonts w:hint="eastAsia"/>
        </w:rPr>
        <w:t>/</w:t>
      </w:r>
      <w:r>
        <w:rPr>
          <w:rFonts w:hint="eastAsia"/>
        </w:rPr>
        <w:t>结核菌素异染质高于</w:t>
      </w:r>
      <w:r>
        <w:rPr>
          <w:rFonts w:hint="eastAsia"/>
        </w:rPr>
        <w:t>90</w:t>
      </w:r>
      <w:r>
        <w:rPr>
          <w:rFonts w:hint="eastAsia"/>
        </w:rPr>
        <w:t>或低于</w:t>
      </w:r>
      <w:r>
        <w:rPr>
          <w:rFonts w:hint="eastAsia"/>
        </w:rPr>
        <w:t>10</w:t>
      </w:r>
      <w:r>
        <w:rPr>
          <w:rFonts w:hint="eastAsia"/>
        </w:rPr>
        <w:t>个百分位</w:t>
      </w:r>
      <w:r>
        <w:rPr>
          <w:rFonts w:hint="eastAsia"/>
        </w:rPr>
        <w:t>)</w:t>
      </w:r>
      <w:r>
        <w:rPr>
          <w:rFonts w:hint="eastAsia"/>
        </w:rPr>
        <w:t>。三分之一以上的小学生和中学生方向感差，约</w:t>
      </w:r>
      <w:r>
        <w:rPr>
          <w:rFonts w:hint="eastAsia"/>
        </w:rPr>
        <w:t>40%</w:t>
      </w:r>
      <w:r>
        <w:rPr>
          <w:rFonts w:hint="eastAsia"/>
        </w:rPr>
        <w:t>有脚奇形症。</w:t>
      </w:r>
      <w:r>
        <w:rPr>
          <w:rFonts w:hint="eastAsia"/>
        </w:rPr>
        <w:t>10.8%</w:t>
      </w:r>
      <w:r>
        <w:rPr>
          <w:rFonts w:hint="eastAsia"/>
        </w:rPr>
        <w:t>的小学生、</w:t>
      </w:r>
      <w:r>
        <w:rPr>
          <w:rFonts w:hint="eastAsia"/>
        </w:rPr>
        <w:t>13.9%</w:t>
      </w:r>
      <w:r>
        <w:rPr>
          <w:rFonts w:hint="eastAsia"/>
        </w:rPr>
        <w:t>的中学女生、</w:t>
      </w:r>
      <w:r>
        <w:rPr>
          <w:rFonts w:hint="eastAsia"/>
        </w:rPr>
        <w:t>18.5%</w:t>
      </w:r>
      <w:r>
        <w:rPr>
          <w:rFonts w:hint="eastAsia"/>
        </w:rPr>
        <w:t>中学男生和</w:t>
      </w:r>
      <w:r>
        <w:rPr>
          <w:rFonts w:hint="eastAsia"/>
        </w:rPr>
        <w:t>24.5%</w:t>
      </w:r>
      <w:r>
        <w:rPr>
          <w:rFonts w:hint="eastAsia"/>
        </w:rPr>
        <w:t>的学生折射失调。约</w:t>
      </w:r>
      <w:r>
        <w:rPr>
          <w:rFonts w:hint="eastAsia"/>
        </w:rPr>
        <w:t>3.5%</w:t>
      </w:r>
      <w:r>
        <w:rPr>
          <w:rFonts w:hint="eastAsia"/>
        </w:rPr>
        <w:t>的中学生在检查时有高血压。小学有</w:t>
      </w:r>
      <w:r>
        <w:rPr>
          <w:rFonts w:hint="eastAsia"/>
        </w:rPr>
        <w:t>5%</w:t>
      </w:r>
      <w:r>
        <w:rPr>
          <w:rFonts w:hint="eastAsia"/>
        </w:rPr>
        <w:t>的男生和</w:t>
      </w:r>
      <w:r>
        <w:rPr>
          <w:rFonts w:hint="eastAsia"/>
        </w:rPr>
        <w:t>6%</w:t>
      </w:r>
      <w:r>
        <w:rPr>
          <w:rFonts w:hint="eastAsia"/>
        </w:rPr>
        <w:t>的女生，中学有</w:t>
      </w:r>
      <w:r>
        <w:rPr>
          <w:rFonts w:hint="eastAsia"/>
        </w:rPr>
        <w:t>3%</w:t>
      </w:r>
      <w:r>
        <w:rPr>
          <w:rFonts w:hint="eastAsia"/>
        </w:rPr>
        <w:t>的男生和</w:t>
      </w:r>
      <w:r>
        <w:rPr>
          <w:rFonts w:hint="eastAsia"/>
        </w:rPr>
        <w:t>4%</w:t>
      </w:r>
      <w:r>
        <w:rPr>
          <w:rFonts w:hint="eastAsia"/>
        </w:rPr>
        <w:t>的女生的血红蛋白低于</w:t>
      </w:r>
      <w:r>
        <w:rPr>
          <w:rFonts w:hint="eastAsia"/>
        </w:rPr>
        <w:t>11</w:t>
      </w:r>
      <w:r>
        <w:t>g/l</w:t>
      </w:r>
      <w:r>
        <w:rPr>
          <w:rFonts w:hint="eastAsia"/>
        </w:rPr>
        <w:t>。在小学，</w:t>
      </w:r>
      <w:r>
        <w:rPr>
          <w:rFonts w:hint="eastAsia"/>
        </w:rPr>
        <w:t>2.8%</w:t>
      </w:r>
      <w:r>
        <w:rPr>
          <w:rFonts w:hint="eastAsia"/>
        </w:rPr>
        <w:t>的男孩和</w:t>
      </w:r>
      <w:r>
        <w:rPr>
          <w:rFonts w:hint="eastAsia"/>
        </w:rPr>
        <w:t>1.3%</w:t>
      </w:r>
      <w:r>
        <w:rPr>
          <w:rFonts w:hint="eastAsia"/>
        </w:rPr>
        <w:t>的女孩有语言障碍</w:t>
      </w:r>
      <w:r>
        <w:rPr>
          <w:rFonts w:hint="eastAsia"/>
        </w:rPr>
        <w:t>(</w:t>
      </w:r>
      <w:r>
        <w:rPr>
          <w:rFonts w:hint="eastAsia"/>
        </w:rPr>
        <w:t>口吃</w:t>
      </w:r>
      <w:r>
        <w:rPr>
          <w:rFonts w:hint="eastAsia"/>
        </w:rPr>
        <w:t>)</w:t>
      </w:r>
      <w:r>
        <w:rPr>
          <w:rFonts w:hint="eastAsia"/>
        </w:rPr>
        <w:t>。</w:t>
      </w:r>
      <w:r>
        <w:rPr>
          <w:rFonts w:hint="eastAsia"/>
        </w:rPr>
        <w:tab/>
        <w:t>392.  1998</w:t>
      </w:r>
      <w:r>
        <w:rPr>
          <w:rFonts w:hint="eastAsia"/>
        </w:rPr>
        <w:t>年，职业医疗专业总共作了</w:t>
      </w:r>
      <w:r>
        <w:rPr>
          <w:rFonts w:hint="eastAsia"/>
        </w:rPr>
        <w:t>362,363</w:t>
      </w:r>
      <w:r>
        <w:rPr>
          <w:rFonts w:hint="eastAsia"/>
        </w:rPr>
        <w:t>次医疗检查，比上一年少</w:t>
      </w:r>
      <w:r>
        <w:rPr>
          <w:rFonts w:hint="eastAsia"/>
        </w:rPr>
        <w:t>12.8%</w:t>
      </w:r>
      <w:r>
        <w:rPr>
          <w:rFonts w:hint="eastAsia"/>
        </w:rPr>
        <w:t>。预防性检查大多是初级检查</w:t>
      </w:r>
      <w:r>
        <w:rPr>
          <w:rFonts w:hint="eastAsia"/>
        </w:rPr>
        <w:t>(59,079)</w:t>
      </w:r>
      <w:r>
        <w:rPr>
          <w:rFonts w:hint="eastAsia"/>
        </w:rPr>
        <w:t>，其次是定期检查</w:t>
      </w:r>
      <w:r>
        <w:rPr>
          <w:rFonts w:hint="eastAsia"/>
        </w:rPr>
        <w:t>(52,428)</w:t>
      </w:r>
      <w:r>
        <w:rPr>
          <w:rFonts w:hint="eastAsia"/>
        </w:rPr>
        <w:t>和系统检查</w:t>
      </w:r>
      <w:r>
        <w:rPr>
          <w:rFonts w:hint="eastAsia"/>
        </w:rPr>
        <w:t>(9,508)</w:t>
      </w:r>
      <w:r>
        <w:rPr>
          <w:rFonts w:hint="eastAsia"/>
        </w:rPr>
        <w:t>。进行了</w:t>
      </w:r>
      <w:r>
        <w:rPr>
          <w:rFonts w:hint="eastAsia"/>
        </w:rPr>
        <w:t>216,830</w:t>
      </w:r>
      <w:r>
        <w:rPr>
          <w:rFonts w:hint="eastAsia"/>
        </w:rPr>
        <w:t>次特别检查，大多数涉及对驾驶员</w:t>
      </w:r>
      <w:r>
        <w:rPr>
          <w:rFonts w:hint="eastAsia"/>
        </w:rPr>
        <w:t>(142,191</w:t>
      </w:r>
      <w:r>
        <w:rPr>
          <w:rFonts w:hint="eastAsia"/>
        </w:rPr>
        <w:t>次</w:t>
      </w:r>
      <w:r>
        <w:rPr>
          <w:rFonts w:hint="eastAsia"/>
        </w:rPr>
        <w:t>)</w:t>
      </w:r>
      <w:r>
        <w:rPr>
          <w:rFonts w:hint="eastAsia"/>
        </w:rPr>
        <w:t>和海员</w:t>
      </w:r>
      <w:r>
        <w:rPr>
          <w:rFonts w:hint="eastAsia"/>
        </w:rPr>
        <w:t>(7,861</w:t>
      </w:r>
      <w:r>
        <w:rPr>
          <w:rFonts w:hint="eastAsia"/>
        </w:rPr>
        <w:t>次</w:t>
      </w:r>
      <w:r>
        <w:rPr>
          <w:rFonts w:hint="eastAsia"/>
        </w:rPr>
        <w:t>)</w:t>
      </w:r>
      <w:r>
        <w:rPr>
          <w:rFonts w:hint="eastAsia"/>
        </w:rPr>
        <w:t>的检查。也在职业医疗领域作安慰性检查，大多是申请对工作能力的评价</w:t>
      </w:r>
      <w:r>
        <w:rPr>
          <w:rFonts w:hint="eastAsia"/>
        </w:rPr>
        <w:t>(3,485)</w:t>
      </w:r>
      <w:r>
        <w:rPr>
          <w:rFonts w:hint="eastAsia"/>
        </w:rPr>
        <w:t>和对残疾委员会的评定和核查结果作评估</w:t>
      </w:r>
      <w:r>
        <w:rPr>
          <w:rFonts w:hint="eastAsia"/>
        </w:rPr>
        <w:t>(2,376)</w:t>
      </w:r>
      <w:r>
        <w:rPr>
          <w:rFonts w:hint="eastAsia"/>
        </w:rPr>
        <w:t>。</w:t>
      </w:r>
    </w:p>
    <w:p w:rsidR="00000000" w:rsidRDefault="00000000">
      <w:r>
        <w:rPr>
          <w:rFonts w:hint="eastAsia"/>
        </w:rPr>
        <w:tab/>
        <w:t>393.  1998</w:t>
      </w:r>
      <w:r>
        <w:rPr>
          <w:rFonts w:hint="eastAsia"/>
        </w:rPr>
        <w:t>年报告了</w:t>
      </w:r>
      <w:r>
        <w:rPr>
          <w:rFonts w:hint="eastAsia"/>
        </w:rPr>
        <w:t>22,965</w:t>
      </w:r>
      <w:r>
        <w:rPr>
          <w:rFonts w:hint="eastAsia"/>
        </w:rPr>
        <w:t>起工伤事故，其中</w:t>
      </w:r>
      <w:r>
        <w:rPr>
          <w:rFonts w:hint="eastAsia"/>
        </w:rPr>
        <w:t>49</w:t>
      </w:r>
      <w:r>
        <w:rPr>
          <w:rFonts w:hint="eastAsia"/>
        </w:rPr>
        <w:t>起造成死亡。</w:t>
      </w:r>
      <w:r>
        <w:rPr>
          <w:rFonts w:hint="eastAsia"/>
        </w:rPr>
        <w:t>1998</w:t>
      </w:r>
      <w:r>
        <w:rPr>
          <w:rFonts w:hint="eastAsia"/>
        </w:rPr>
        <w:t>年报告了</w:t>
      </w:r>
      <w:r>
        <w:rPr>
          <w:rFonts w:hint="eastAsia"/>
        </w:rPr>
        <w:t>152</w:t>
      </w:r>
      <w:r>
        <w:rPr>
          <w:rFonts w:hint="eastAsia"/>
        </w:rPr>
        <w:t>例职业病。登记的病例大多涉及吵音</w:t>
      </w:r>
      <w:r>
        <w:rPr>
          <w:rFonts w:hint="eastAsia"/>
        </w:rPr>
        <w:t>(71</w:t>
      </w:r>
      <w:r>
        <w:rPr>
          <w:rFonts w:hint="eastAsia"/>
        </w:rPr>
        <w:t>例</w:t>
      </w:r>
      <w:r>
        <w:rPr>
          <w:rFonts w:hint="eastAsia"/>
        </w:rPr>
        <w:t>)</w:t>
      </w:r>
      <w:r>
        <w:rPr>
          <w:rFonts w:hint="eastAsia"/>
        </w:rPr>
        <w:t>、过度震动</w:t>
      </w:r>
      <w:r>
        <w:rPr>
          <w:rFonts w:hint="eastAsia"/>
        </w:rPr>
        <w:t>(21</w:t>
      </w:r>
      <w:r>
        <w:rPr>
          <w:rFonts w:hint="eastAsia"/>
        </w:rPr>
        <w:t>例</w:t>
      </w:r>
      <w:r>
        <w:rPr>
          <w:rFonts w:hint="eastAsia"/>
        </w:rPr>
        <w:t>)</w:t>
      </w:r>
      <w:r>
        <w:rPr>
          <w:rFonts w:hint="eastAsia"/>
        </w:rPr>
        <w:t>、皮肤病和皮肤病恶性复发</w:t>
      </w:r>
      <w:r>
        <w:rPr>
          <w:rFonts w:hint="eastAsia"/>
        </w:rPr>
        <w:t>(14</w:t>
      </w:r>
      <w:r>
        <w:rPr>
          <w:rFonts w:hint="eastAsia"/>
        </w:rPr>
        <w:t>例</w:t>
      </w:r>
      <w:r>
        <w:rPr>
          <w:rFonts w:hint="eastAsia"/>
        </w:rPr>
        <w:t>)</w:t>
      </w:r>
      <w:r>
        <w:rPr>
          <w:rFonts w:hint="eastAsia"/>
        </w:rPr>
        <w:t>以及铅及其化合物和混合物中毒</w:t>
      </w:r>
      <w:r>
        <w:rPr>
          <w:rFonts w:hint="eastAsia"/>
        </w:rPr>
        <w:t>(12</w:t>
      </w:r>
      <w:r>
        <w:rPr>
          <w:rFonts w:hint="eastAsia"/>
        </w:rPr>
        <w:t>例</w:t>
      </w:r>
      <w:r>
        <w:rPr>
          <w:rFonts w:hint="eastAsia"/>
        </w:rPr>
        <w:t>)</w:t>
      </w:r>
      <w:r>
        <w:rPr>
          <w:rFonts w:hint="eastAsia"/>
        </w:rPr>
        <w:t>。</w:t>
      </w:r>
    </w:p>
    <w:p w:rsidR="00000000" w:rsidRDefault="00000000">
      <w:r>
        <w:rPr>
          <w:rFonts w:hint="eastAsia"/>
        </w:rPr>
        <w:tab/>
        <w:t>394.  1998</w:t>
      </w:r>
      <w:r>
        <w:rPr>
          <w:rFonts w:hint="eastAsia"/>
        </w:rPr>
        <w:t>年记录了</w:t>
      </w:r>
      <w:r>
        <w:rPr>
          <w:rFonts w:hint="eastAsia"/>
        </w:rPr>
        <w:t>105,313</w:t>
      </w:r>
      <w:r>
        <w:rPr>
          <w:rFonts w:hint="eastAsia"/>
        </w:rPr>
        <w:t>例工人保健方面的病例。值得一提的是，它完全与预防、特别和安慰性检查有关的活动。首先是眼病和眼区疾病</w:t>
      </w:r>
      <w:r>
        <w:rPr>
          <w:rFonts w:hint="eastAsia"/>
        </w:rPr>
        <w:t>(31.7%)</w:t>
      </w:r>
      <w:r>
        <w:rPr>
          <w:rFonts w:hint="eastAsia"/>
        </w:rPr>
        <w:t>、循环系统疾病</w:t>
      </w:r>
      <w:r>
        <w:rPr>
          <w:rFonts w:hint="eastAsia"/>
        </w:rPr>
        <w:t>(13.8%)</w:t>
      </w:r>
      <w:r>
        <w:rPr>
          <w:rFonts w:hint="eastAsia"/>
        </w:rPr>
        <w:t>、心理和行为混乱</w:t>
      </w:r>
      <w:r>
        <w:rPr>
          <w:rFonts w:hint="eastAsia"/>
        </w:rPr>
        <w:t>(9.7)</w:t>
      </w:r>
      <w:r>
        <w:rPr>
          <w:rFonts w:hint="eastAsia"/>
        </w:rPr>
        <w:t>、肌骨胳系统和组织的疾病</w:t>
      </w:r>
      <w:r>
        <w:rPr>
          <w:rFonts w:hint="eastAsia"/>
        </w:rPr>
        <w:t>(6.5%)</w:t>
      </w:r>
      <w:r>
        <w:rPr>
          <w:rFonts w:hint="eastAsia"/>
        </w:rPr>
        <w:t>、内分泌、饮食和代谢疾病</w:t>
      </w:r>
      <w:r>
        <w:rPr>
          <w:rFonts w:hint="eastAsia"/>
        </w:rPr>
        <w:t>(6.8%)</w:t>
      </w:r>
      <w:r>
        <w:rPr>
          <w:rFonts w:hint="eastAsia"/>
        </w:rPr>
        <w:t>。</w:t>
      </w:r>
    </w:p>
    <w:p w:rsidR="00000000" w:rsidRDefault="00000000">
      <w:r>
        <w:rPr>
          <w:rFonts w:hint="eastAsia"/>
        </w:rPr>
        <w:tab/>
        <w:t>395.  1998</w:t>
      </w:r>
      <w:r>
        <w:rPr>
          <w:rFonts w:hint="eastAsia"/>
        </w:rPr>
        <w:t>年在妇女保健服务方面记录有</w:t>
      </w:r>
      <w:r>
        <w:rPr>
          <w:rFonts w:hint="eastAsia"/>
        </w:rPr>
        <w:t>1,334,333</w:t>
      </w:r>
      <w:r>
        <w:rPr>
          <w:rFonts w:hint="eastAsia"/>
        </w:rPr>
        <w:t>次出诊，一共作了</w:t>
      </w:r>
      <w:r>
        <w:rPr>
          <w:rFonts w:hint="eastAsia"/>
        </w:rPr>
        <w:t>978,152</w:t>
      </w:r>
      <w:r>
        <w:rPr>
          <w:rFonts w:hint="eastAsia"/>
        </w:rPr>
        <w:t>次检查</w:t>
      </w:r>
      <w:r>
        <w:rPr>
          <w:rFonts w:hint="eastAsia"/>
        </w:rPr>
        <w:t>(</w:t>
      </w:r>
      <w:r>
        <w:rPr>
          <w:rFonts w:hint="eastAsia"/>
        </w:rPr>
        <w:t>不包括预防性检查和孕妇检查</w:t>
      </w:r>
      <w:r>
        <w:rPr>
          <w:rFonts w:hint="eastAsia"/>
        </w:rPr>
        <w:t>)</w:t>
      </w:r>
      <w:r>
        <w:rPr>
          <w:rFonts w:hint="eastAsia"/>
        </w:rPr>
        <w:t>。预防性检查大多是系统检查</w:t>
      </w:r>
      <w:r>
        <w:rPr>
          <w:rFonts w:hint="eastAsia"/>
        </w:rPr>
        <w:t>(168,875</w:t>
      </w:r>
      <w:r>
        <w:rPr>
          <w:rFonts w:hint="eastAsia"/>
        </w:rPr>
        <w:t>次</w:t>
      </w:r>
      <w:r>
        <w:rPr>
          <w:rFonts w:hint="eastAsia"/>
        </w:rPr>
        <w:t>)</w:t>
      </w:r>
      <w:r>
        <w:rPr>
          <w:rFonts w:hint="eastAsia"/>
        </w:rPr>
        <w:t>和有目标的检查</w:t>
      </w:r>
      <w:r>
        <w:rPr>
          <w:rFonts w:hint="eastAsia"/>
        </w:rPr>
        <w:t>(68,895</w:t>
      </w:r>
      <w:r>
        <w:rPr>
          <w:rFonts w:hint="eastAsia"/>
        </w:rPr>
        <w:t>次</w:t>
      </w:r>
      <w:r>
        <w:rPr>
          <w:rFonts w:hint="eastAsia"/>
        </w:rPr>
        <w:t>)</w:t>
      </w:r>
      <w:r>
        <w:rPr>
          <w:rFonts w:hint="eastAsia"/>
        </w:rPr>
        <w:t>。总共作了</w:t>
      </w:r>
      <w:r>
        <w:rPr>
          <w:rFonts w:hint="eastAsia"/>
        </w:rPr>
        <w:t>105,620</w:t>
      </w:r>
      <w:r>
        <w:rPr>
          <w:rFonts w:hint="eastAsia"/>
        </w:rPr>
        <w:t>次乳房检查，其中</w:t>
      </w:r>
      <w:r>
        <w:rPr>
          <w:rFonts w:hint="eastAsia"/>
        </w:rPr>
        <w:t>4,969</w:t>
      </w:r>
      <w:r>
        <w:rPr>
          <w:rFonts w:hint="eastAsia"/>
        </w:rPr>
        <w:t>次，计</w:t>
      </w:r>
      <w:r>
        <w:rPr>
          <w:rFonts w:hint="eastAsia"/>
        </w:rPr>
        <w:t>4.7%</w:t>
      </w:r>
      <w:r>
        <w:rPr>
          <w:rFonts w:hint="eastAsia"/>
        </w:rPr>
        <w:t>发现有疾病。在所作的</w:t>
      </w:r>
      <w:r>
        <w:rPr>
          <w:rFonts w:hint="eastAsia"/>
        </w:rPr>
        <w:t>302,222</w:t>
      </w:r>
      <w:r>
        <w:rPr>
          <w:rFonts w:hint="eastAsia"/>
        </w:rPr>
        <w:t>次</w:t>
      </w:r>
      <w:r>
        <w:rPr>
          <w:rFonts w:hint="eastAsia"/>
        </w:rPr>
        <w:t>PAPA</w:t>
      </w:r>
      <w:r>
        <w:rPr>
          <w:rFonts w:hint="eastAsia"/>
        </w:rPr>
        <w:t>试验中，</w:t>
      </w:r>
      <w:r>
        <w:rPr>
          <w:rFonts w:hint="eastAsia"/>
        </w:rPr>
        <w:t>7.8%</w:t>
      </w:r>
      <w:r>
        <w:rPr>
          <w:rFonts w:hint="eastAsia"/>
        </w:rPr>
        <w:t>显示某种程度的病理变化。</w:t>
      </w:r>
    </w:p>
    <w:p w:rsidR="00000000" w:rsidRDefault="00000000">
      <w:r>
        <w:rPr>
          <w:rFonts w:hint="eastAsia"/>
        </w:rPr>
        <w:tab/>
        <w:t xml:space="preserve">396.  </w:t>
      </w:r>
      <w:r>
        <w:rPr>
          <w:rFonts w:hint="eastAsia"/>
        </w:rPr>
        <w:t>据</w:t>
      </w:r>
      <w:r>
        <w:rPr>
          <w:rFonts w:hint="eastAsia"/>
        </w:rPr>
        <w:t>1998</w:t>
      </w:r>
      <w:r>
        <w:rPr>
          <w:rFonts w:hint="eastAsia"/>
        </w:rPr>
        <w:t>年产前检查诊所的报告说，总共有</w:t>
      </w:r>
      <w:r>
        <w:rPr>
          <w:rFonts w:hint="eastAsia"/>
        </w:rPr>
        <w:t>313,006</w:t>
      </w:r>
      <w:r>
        <w:rPr>
          <w:rFonts w:hint="eastAsia"/>
        </w:rPr>
        <w:t>次就诊，每一怀孕例达</w:t>
      </w:r>
      <w:r>
        <w:rPr>
          <w:rFonts w:hint="eastAsia"/>
        </w:rPr>
        <w:t>6.4</w:t>
      </w:r>
      <w:r>
        <w:rPr>
          <w:rFonts w:hint="eastAsia"/>
        </w:rPr>
        <w:t>次。大多数妇女在怀孕第三个月前作第一次检查</w:t>
      </w:r>
      <w:r>
        <w:rPr>
          <w:rFonts w:hint="eastAsia"/>
        </w:rPr>
        <w:t>(62.9%)</w:t>
      </w:r>
      <w:r>
        <w:rPr>
          <w:rFonts w:hint="eastAsia"/>
        </w:rPr>
        <w:t>，</w:t>
      </w:r>
      <w:r>
        <w:rPr>
          <w:rFonts w:hint="eastAsia"/>
        </w:rPr>
        <w:t>27.2%</w:t>
      </w:r>
      <w:r>
        <w:rPr>
          <w:rFonts w:hint="eastAsia"/>
        </w:rPr>
        <w:t>的妇女在第四至第六个月作首次检查，</w:t>
      </w:r>
      <w:r>
        <w:rPr>
          <w:rFonts w:hint="eastAsia"/>
        </w:rPr>
        <w:t>10%</w:t>
      </w:r>
      <w:r>
        <w:rPr>
          <w:rFonts w:hint="eastAsia"/>
        </w:rPr>
        <w:t>在最后一个季度作首次检查。</w:t>
      </w:r>
      <w:r>
        <w:rPr>
          <w:rFonts w:hint="eastAsia"/>
        </w:rPr>
        <w:t>1998</w:t>
      </w:r>
      <w:r>
        <w:rPr>
          <w:rFonts w:hint="eastAsia"/>
        </w:rPr>
        <w:t>年登记有</w:t>
      </w:r>
      <w:r>
        <w:rPr>
          <w:rFonts w:hint="eastAsia"/>
        </w:rPr>
        <w:t>71,905</w:t>
      </w:r>
      <w:r>
        <w:rPr>
          <w:rFonts w:hint="eastAsia"/>
        </w:rPr>
        <w:t>次到计划生育诊所的就诊，每一育龄期妇女达</w:t>
      </w:r>
      <w:r>
        <w:rPr>
          <w:rFonts w:hint="eastAsia"/>
        </w:rPr>
        <w:t>6.6</w:t>
      </w:r>
      <w:r>
        <w:rPr>
          <w:rFonts w:hint="eastAsia"/>
        </w:rPr>
        <w:t>次。据全国统计局</w:t>
      </w:r>
      <w:r>
        <w:rPr>
          <w:rFonts w:hint="eastAsia"/>
        </w:rPr>
        <w:t>1998</w:t>
      </w:r>
      <w:r>
        <w:rPr>
          <w:rFonts w:hint="eastAsia"/>
        </w:rPr>
        <w:t>年的估计，克罗地亚有</w:t>
      </w:r>
      <w:r>
        <w:rPr>
          <w:rFonts w:hint="eastAsia"/>
        </w:rPr>
        <w:t>1,087,853</w:t>
      </w:r>
      <w:r>
        <w:rPr>
          <w:rFonts w:hint="eastAsia"/>
        </w:rPr>
        <w:t>名育龄期妇女。总的生育率达</w:t>
      </w:r>
      <w:r>
        <w:rPr>
          <w:rFonts w:hint="eastAsia"/>
        </w:rPr>
        <w:t>43.3</w:t>
      </w:r>
      <w:r>
        <w:rPr>
          <w:rFonts w:hint="eastAsia"/>
        </w:rPr>
        <w:t>。</w:t>
      </w:r>
    </w:p>
    <w:p w:rsidR="00000000" w:rsidRDefault="00000000">
      <w:r>
        <w:rPr>
          <w:rFonts w:hint="eastAsia"/>
        </w:rPr>
        <w:tab/>
        <w:t>397.  1998</w:t>
      </w:r>
      <w:r>
        <w:rPr>
          <w:rFonts w:hint="eastAsia"/>
        </w:rPr>
        <w:t>年，妇女保健方面记录了</w:t>
      </w:r>
      <w:r>
        <w:rPr>
          <w:rFonts w:hint="eastAsia"/>
        </w:rPr>
        <w:t>591,646</w:t>
      </w:r>
      <w:r>
        <w:rPr>
          <w:rFonts w:hint="eastAsia"/>
        </w:rPr>
        <w:t>例病例。首先是生殖泌尿系统疾病，占</w:t>
      </w:r>
      <w:r>
        <w:rPr>
          <w:rFonts w:hint="eastAsia"/>
        </w:rPr>
        <w:t>47%</w:t>
      </w:r>
      <w:r>
        <w:rPr>
          <w:rFonts w:hint="eastAsia"/>
        </w:rPr>
        <w:t>，其次是影响健康状况是和与保健有联系的病例</w:t>
      </w:r>
      <w:r>
        <w:rPr>
          <w:rFonts w:hint="eastAsia"/>
        </w:rPr>
        <w:t>(30.4%)</w:t>
      </w:r>
      <w:r>
        <w:rPr>
          <w:rFonts w:hint="eastAsia"/>
        </w:rPr>
        <w:t>，继而是传染病和寄生虫病</w:t>
      </w:r>
      <w:r>
        <w:rPr>
          <w:rFonts w:hint="eastAsia"/>
        </w:rPr>
        <w:t>(10.5%)</w:t>
      </w:r>
      <w:r>
        <w:rPr>
          <w:rFonts w:hint="eastAsia"/>
        </w:rPr>
        <w:t>、与妊娠、生育和产褥期有关的疾病、肿瘤</w:t>
      </w:r>
      <w:r>
        <w:rPr>
          <w:rFonts w:hint="eastAsia"/>
        </w:rPr>
        <w:t>(4.1%)</w:t>
      </w:r>
      <w:r>
        <w:rPr>
          <w:rFonts w:hint="eastAsia"/>
        </w:rPr>
        <w:t>和其他疾病。</w:t>
      </w:r>
    </w:p>
    <w:p w:rsidR="00000000" w:rsidRDefault="00000000">
      <w:r>
        <w:rPr>
          <w:rFonts w:hint="eastAsia"/>
        </w:rPr>
        <w:tab/>
        <w:t xml:space="preserve">398.  </w:t>
      </w:r>
      <w:r>
        <w:rPr>
          <w:rFonts w:hint="eastAsia"/>
        </w:rPr>
        <w:t>根据克罗地亚共和国医疗部门的出生报告，</w:t>
      </w:r>
      <w:r>
        <w:rPr>
          <w:rFonts w:hint="eastAsia"/>
        </w:rPr>
        <w:t>1998</w:t>
      </w:r>
      <w:r>
        <w:rPr>
          <w:rFonts w:hint="eastAsia"/>
        </w:rPr>
        <w:t>年</w:t>
      </w:r>
      <w:r>
        <w:rPr>
          <w:rFonts w:hint="eastAsia"/>
        </w:rPr>
        <w:t>47,025</w:t>
      </w:r>
      <w:r>
        <w:rPr>
          <w:rFonts w:hint="eastAsia"/>
        </w:rPr>
        <w:t>例分娩中出生的儿童有</w:t>
      </w:r>
      <w:r>
        <w:rPr>
          <w:rFonts w:hint="eastAsia"/>
        </w:rPr>
        <w:t>47,577</w:t>
      </w:r>
      <w:r>
        <w:rPr>
          <w:rFonts w:hint="eastAsia"/>
        </w:rPr>
        <w:t>名</w:t>
      </w:r>
      <w:r>
        <w:rPr>
          <w:rFonts w:hint="eastAsia"/>
        </w:rPr>
        <w:t>(47,380</w:t>
      </w:r>
      <w:r>
        <w:rPr>
          <w:rFonts w:hint="eastAsia"/>
        </w:rPr>
        <w:t>个活产，</w:t>
      </w:r>
      <w:r>
        <w:rPr>
          <w:rFonts w:hint="eastAsia"/>
        </w:rPr>
        <w:t>197</w:t>
      </w:r>
      <w:r>
        <w:rPr>
          <w:rFonts w:hint="eastAsia"/>
        </w:rPr>
        <w:t>个死产</w:t>
      </w:r>
      <w:r>
        <w:rPr>
          <w:rFonts w:hint="eastAsia"/>
        </w:rPr>
        <w:t>)</w:t>
      </w:r>
      <w:r>
        <w:rPr>
          <w:rFonts w:hint="eastAsia"/>
        </w:rPr>
        <w:t>。其中</w:t>
      </w:r>
      <w:r>
        <w:rPr>
          <w:rFonts w:hint="eastAsia"/>
        </w:rPr>
        <w:t>882</w:t>
      </w:r>
      <w:r>
        <w:rPr>
          <w:rFonts w:hint="eastAsia"/>
        </w:rPr>
        <w:t>个新生儿是居住在克罗地亚共和国境外的母亲出生的。</w:t>
      </w:r>
    </w:p>
    <w:p w:rsidR="00000000" w:rsidRDefault="00000000">
      <w:r>
        <w:rPr>
          <w:rFonts w:hint="eastAsia"/>
        </w:rPr>
        <w:tab/>
        <w:t xml:space="preserve">399.  </w:t>
      </w:r>
      <w:r>
        <w:rPr>
          <w:rFonts w:hint="eastAsia"/>
        </w:rPr>
        <w:t>今年同以往十几年一样，中止妊娠的数量也有所减少。</w:t>
      </w:r>
      <w:r>
        <w:rPr>
          <w:rFonts w:hint="eastAsia"/>
        </w:rPr>
        <w:t>1998</w:t>
      </w:r>
      <w:r>
        <w:rPr>
          <w:rFonts w:hint="eastAsia"/>
        </w:rPr>
        <w:t>年记录的中止妊娠总数达</w:t>
      </w:r>
      <w:r>
        <w:rPr>
          <w:rFonts w:hint="eastAsia"/>
        </w:rPr>
        <w:t>15,292</w:t>
      </w:r>
      <w:r>
        <w:rPr>
          <w:rFonts w:hint="eastAsia"/>
        </w:rPr>
        <w:t>例，其中有</w:t>
      </w:r>
      <w:r>
        <w:rPr>
          <w:rFonts w:hint="eastAsia"/>
        </w:rPr>
        <w:t>58.2%</w:t>
      </w:r>
      <w:r>
        <w:rPr>
          <w:rFonts w:hint="eastAsia"/>
        </w:rPr>
        <w:t>是合法的人工中止妊娠</w:t>
      </w:r>
      <w:r>
        <w:rPr>
          <w:rFonts w:hint="eastAsia"/>
        </w:rPr>
        <w:t>(</w:t>
      </w:r>
      <w:r>
        <w:rPr>
          <w:rFonts w:hint="eastAsia"/>
        </w:rPr>
        <w:t>占每一活产的</w:t>
      </w:r>
      <w:r>
        <w:rPr>
          <w:rFonts w:hint="eastAsia"/>
        </w:rPr>
        <w:t>0.2)</w:t>
      </w:r>
      <w:r>
        <w:rPr>
          <w:rFonts w:hint="eastAsia"/>
        </w:rPr>
        <w:t>。</w:t>
      </w:r>
    </w:p>
    <w:p w:rsidR="00000000" w:rsidRDefault="00000000">
      <w:r>
        <w:rPr>
          <w:rFonts w:hint="eastAsia"/>
        </w:rPr>
        <w:tab/>
        <w:t>400.  1998</w:t>
      </w:r>
      <w:r>
        <w:rPr>
          <w:rFonts w:hint="eastAsia"/>
        </w:rPr>
        <w:t>年，到医院求医的最常见原因是肿瘤，其次是循环系统和消化道疾病，受伤和中毒。到医院治伤的最常见原因是骨盆骨折、胫骨折裂、脑震荡和头部表皮受伤。在受伤的外部原因方面，主要是骨折，有各种各样的起因</w:t>
      </w:r>
      <w:r>
        <w:rPr>
          <w:rFonts w:hint="eastAsia"/>
        </w:rPr>
        <w:t>(</w:t>
      </w:r>
      <w:r>
        <w:rPr>
          <w:rFonts w:hint="eastAsia"/>
        </w:rPr>
        <w:t>跌伤、溺水、药物、窒息</w:t>
      </w:r>
      <w:r>
        <w:rPr>
          <w:rFonts w:hint="eastAsia"/>
        </w:rPr>
        <w:t>)</w:t>
      </w:r>
      <w:r>
        <w:rPr>
          <w:rFonts w:hint="eastAsia"/>
        </w:rPr>
        <w:t>。</w:t>
      </w:r>
      <w:r>
        <w:rPr>
          <w:rFonts w:hint="eastAsia"/>
        </w:rPr>
        <w:t>1998</w:t>
      </w:r>
      <w:r>
        <w:rPr>
          <w:rFonts w:hint="eastAsia"/>
        </w:rPr>
        <w:t>年平均住院期为</w:t>
      </w:r>
      <w:r>
        <w:rPr>
          <w:rFonts w:hint="eastAsia"/>
        </w:rPr>
        <w:t>12.57</w:t>
      </w:r>
      <w:r>
        <w:rPr>
          <w:rFonts w:hint="eastAsia"/>
        </w:rPr>
        <w:t>天，病床平均占有期为急性病人每床</w:t>
      </w:r>
      <w:r>
        <w:rPr>
          <w:rFonts w:hint="eastAsia"/>
        </w:rPr>
        <w:t>322</w:t>
      </w:r>
      <w:r>
        <w:rPr>
          <w:rFonts w:hint="eastAsia"/>
        </w:rPr>
        <w:t>天，专门医院每床</w:t>
      </w:r>
      <w:r>
        <w:rPr>
          <w:rFonts w:hint="eastAsia"/>
        </w:rPr>
        <w:t>304</w:t>
      </w:r>
      <w:r>
        <w:rPr>
          <w:rFonts w:hint="eastAsia"/>
        </w:rPr>
        <w:t>天。床位容量的平均使用率为急性病人</w:t>
      </w:r>
      <w:r>
        <w:rPr>
          <w:rFonts w:hint="eastAsia"/>
        </w:rPr>
        <w:t>88.22%</w:t>
      </w:r>
      <w:r>
        <w:rPr>
          <w:rFonts w:hint="eastAsia"/>
        </w:rPr>
        <w:t>，慢性病人</w:t>
      </w:r>
      <w:r>
        <w:rPr>
          <w:rFonts w:hint="eastAsia"/>
        </w:rPr>
        <w:t>83.29%</w:t>
      </w:r>
      <w:r>
        <w:rPr>
          <w:rFonts w:hint="eastAsia"/>
        </w:rPr>
        <w:t>。</w:t>
      </w:r>
    </w:p>
    <w:p w:rsidR="00000000" w:rsidRDefault="00000000">
      <w:r>
        <w:rPr>
          <w:rFonts w:hint="eastAsia"/>
        </w:rPr>
        <w:tab/>
        <w:t xml:space="preserve">401.  </w:t>
      </w:r>
      <w:r>
        <w:rPr>
          <w:rFonts w:hint="eastAsia"/>
        </w:rPr>
        <w:t>在传染病方面，克罗地亚唯一严重的公共卫生问题是肺炎。</w:t>
      </w:r>
      <w:r>
        <w:rPr>
          <w:rFonts w:hint="eastAsia"/>
        </w:rPr>
        <w:t>1998</w:t>
      </w:r>
      <w:r>
        <w:rPr>
          <w:rFonts w:hint="eastAsia"/>
        </w:rPr>
        <w:t>年记载</w:t>
      </w:r>
      <w:r>
        <w:rPr>
          <w:rFonts w:hint="eastAsia"/>
        </w:rPr>
        <w:t>2,118</w:t>
      </w:r>
      <w:r>
        <w:rPr>
          <w:rFonts w:hint="eastAsia"/>
        </w:rPr>
        <w:t>例新病例</w:t>
      </w:r>
      <w:r>
        <w:rPr>
          <w:rFonts w:hint="eastAsia"/>
        </w:rPr>
        <w:t>(44/100,000)</w:t>
      </w:r>
      <w:r>
        <w:rPr>
          <w:rFonts w:hint="eastAsia"/>
        </w:rPr>
        <w:t>。克罗地亚于</w:t>
      </w:r>
      <w:r>
        <w:rPr>
          <w:rFonts w:hint="eastAsia"/>
        </w:rPr>
        <w:t>1986</w:t>
      </w:r>
      <w:r>
        <w:rPr>
          <w:rFonts w:hint="eastAsia"/>
        </w:rPr>
        <w:t>年发现第一例艾滋病，之后受感染的人数缓慢但持续上升。到</w:t>
      </w:r>
      <w:r>
        <w:rPr>
          <w:rFonts w:hint="eastAsia"/>
        </w:rPr>
        <w:t>1995</w:t>
      </w:r>
      <w:r>
        <w:rPr>
          <w:rFonts w:hint="eastAsia"/>
        </w:rPr>
        <w:t>年底，有</w:t>
      </w:r>
      <w:r>
        <w:rPr>
          <w:rFonts w:hint="eastAsia"/>
        </w:rPr>
        <w:t>137</w:t>
      </w:r>
      <w:r>
        <w:rPr>
          <w:rFonts w:hint="eastAsia"/>
        </w:rPr>
        <w:t>人患艾滋病，</w:t>
      </w:r>
      <w:r>
        <w:rPr>
          <w:rFonts w:hint="eastAsia"/>
        </w:rPr>
        <w:t>91</w:t>
      </w:r>
      <w:r>
        <w:rPr>
          <w:rFonts w:hint="eastAsia"/>
        </w:rPr>
        <w:t>人死亡。这种流行病不具有爆炸性，但将继续存在，而且程度略有加剧。在约</w:t>
      </w:r>
      <w:r>
        <w:rPr>
          <w:rFonts w:hint="eastAsia"/>
        </w:rPr>
        <w:t>80%</w:t>
      </w:r>
      <w:r>
        <w:rPr>
          <w:rFonts w:hint="eastAsia"/>
        </w:rPr>
        <w:t>受感染的人中，有的是同性恋者，有的是两性恋者，有的是公开进行男女乱交的异性恋者，还有的是靠静脉注射的吸毒者，主要是男子。</w:t>
      </w:r>
    </w:p>
    <w:p w:rsidR="00000000" w:rsidRDefault="00000000">
      <w:pPr>
        <w:rPr>
          <w:rFonts w:hint="eastAsia"/>
        </w:rPr>
      </w:pPr>
      <w:r>
        <w:rPr>
          <w:rFonts w:hint="eastAsia"/>
        </w:rPr>
        <w:tab/>
        <w:t xml:space="preserve">402.  </w:t>
      </w:r>
      <w:r>
        <w:rPr>
          <w:rFonts w:hint="eastAsia"/>
        </w:rPr>
        <w:t>在克罗地亚对下列几种疾病实行义务预防注射：白喉、破伤风、百日咳、小儿麻痹症、麻疹、风疹、腮腺炎</w:t>
      </w:r>
      <w:r>
        <w:rPr>
          <w:rFonts w:hint="eastAsia"/>
        </w:rPr>
        <w:t>(</w:t>
      </w:r>
      <w:r>
        <w:rPr>
          <w:rFonts w:hint="eastAsia"/>
        </w:rPr>
        <w:t>流行性腮腺炎</w:t>
      </w:r>
      <w:r>
        <w:rPr>
          <w:rFonts w:hint="eastAsia"/>
        </w:rPr>
        <w:t>)</w:t>
      </w:r>
      <w:r>
        <w:rPr>
          <w:rFonts w:hint="eastAsia"/>
        </w:rPr>
        <w:t>和肺炎。由于实行由立法规定的系统注射预防，麻疹和白喉已被根除，破伤风已很少发生</w:t>
      </w:r>
      <w:r>
        <w:rPr>
          <w:rFonts w:hint="eastAsia"/>
        </w:rPr>
        <w:t>(</w:t>
      </w:r>
      <w:r>
        <w:rPr>
          <w:rFonts w:hint="eastAsia"/>
        </w:rPr>
        <w:t>老年人不注射</w:t>
      </w:r>
      <w:r>
        <w:rPr>
          <w:rFonts w:hint="eastAsia"/>
        </w:rPr>
        <w:t>)</w:t>
      </w:r>
      <w:r>
        <w:rPr>
          <w:rFonts w:hint="eastAsia"/>
        </w:rPr>
        <w:t>，麻疹、风疹、流行性腮腺炎和肺炎等病例与开展系统性注射前相比分别减少了</w:t>
      </w:r>
      <w:r>
        <w:rPr>
          <w:rFonts w:hint="eastAsia"/>
        </w:rPr>
        <w:t>98%</w:t>
      </w:r>
      <w:r>
        <w:rPr>
          <w:rFonts w:hint="eastAsia"/>
        </w:rPr>
        <w:t>、</w:t>
      </w:r>
      <w:r>
        <w:rPr>
          <w:rFonts w:hint="eastAsia"/>
        </w:rPr>
        <w:t>96%</w:t>
      </w:r>
      <w:r>
        <w:rPr>
          <w:rFonts w:hint="eastAsia"/>
        </w:rPr>
        <w:t>、</w:t>
      </w:r>
      <w:r>
        <w:rPr>
          <w:rFonts w:hint="eastAsia"/>
        </w:rPr>
        <w:t>96%</w:t>
      </w:r>
      <w:r>
        <w:rPr>
          <w:rFonts w:hint="eastAsia"/>
        </w:rPr>
        <w:t>和</w:t>
      </w:r>
      <w:r>
        <w:rPr>
          <w:rFonts w:hint="eastAsia"/>
        </w:rPr>
        <w:t>85%</w:t>
      </w:r>
      <w:r>
        <w:rPr>
          <w:rFonts w:hint="eastAsia"/>
        </w:rPr>
        <w:t>。百日咳的病例仍然略有增加，但要说明的是，根据现行规章，对可能因各种微生物引起的临床百日咳必须作汇报。但还是减少了</w:t>
      </w:r>
      <w:r>
        <w:rPr>
          <w:rFonts w:hint="eastAsia"/>
        </w:rPr>
        <w:t>94%</w:t>
      </w:r>
      <w:r>
        <w:rPr>
          <w:rFonts w:hint="eastAsia"/>
        </w:rPr>
        <w:t>。</w:t>
      </w:r>
    </w:p>
    <w:p w:rsidR="00000000" w:rsidRDefault="00000000">
      <w:pPr>
        <w:rPr>
          <w:rFonts w:hint="eastAsia"/>
        </w:rPr>
      </w:pPr>
      <w:r>
        <w:rPr>
          <w:rFonts w:hint="eastAsia"/>
        </w:rPr>
        <w:tab/>
        <w:t xml:space="preserve">403.  </w:t>
      </w:r>
      <w:r>
        <w:rPr>
          <w:rFonts w:hint="eastAsia"/>
        </w:rPr>
        <w:t>应该补充的是，上述成就可以归因于非常高的疫苗注射覆盖率，在克罗地亚，尽管发生战争，但近十年首次疫苗接种的平均覆盖率从来没有低于</w:t>
      </w:r>
      <w:r>
        <w:rPr>
          <w:rFonts w:hint="eastAsia"/>
        </w:rPr>
        <w:t>80%</w:t>
      </w:r>
      <w:r>
        <w:rPr>
          <w:rFonts w:hint="eastAsia"/>
        </w:rPr>
        <w:t>，再次疫苗接种也从未低于</w:t>
      </w:r>
      <w:r>
        <w:rPr>
          <w:rFonts w:hint="eastAsia"/>
        </w:rPr>
        <w:t>90%</w:t>
      </w:r>
      <w:r>
        <w:rPr>
          <w:rFonts w:hint="eastAsia"/>
        </w:rPr>
        <w:t>。如果保持这种水平，肯定会根除小儿麻痹症和白喉，麻疹、风疹和流行性腮腺炎等也会继续减少</w:t>
      </w:r>
      <w:r>
        <w:rPr>
          <w:rFonts w:hint="eastAsia"/>
        </w:rPr>
        <w:t>(</w:t>
      </w:r>
      <w:r>
        <w:rPr>
          <w:rFonts w:hint="eastAsia"/>
        </w:rPr>
        <w:t>偶尔会发生轻微的流行病</w:t>
      </w:r>
      <w:r>
        <w:rPr>
          <w:rFonts w:hint="eastAsia"/>
        </w:rPr>
        <w:t>)</w:t>
      </w:r>
      <w:r>
        <w:rPr>
          <w:rFonts w:hint="eastAsia"/>
        </w:rPr>
        <w:t>，但百日咳的下降可能略为缓慢。</w:t>
      </w:r>
    </w:p>
    <w:p w:rsidR="00000000" w:rsidRDefault="00000000">
      <w:pPr>
        <w:rPr>
          <w:rFonts w:hint="eastAsia"/>
        </w:rPr>
      </w:pPr>
      <w:r>
        <w:rPr>
          <w:rFonts w:hint="eastAsia"/>
        </w:rPr>
        <w:tab/>
        <w:t xml:space="preserve">404.  </w:t>
      </w:r>
      <w:r>
        <w:rPr>
          <w:rFonts w:hint="eastAsia"/>
        </w:rPr>
        <w:t>由于最近强制规定对某几类人</w:t>
      </w:r>
      <w:r>
        <w:rPr>
          <w:rFonts w:hint="eastAsia"/>
        </w:rPr>
        <w:t>(</w:t>
      </w:r>
      <w:r>
        <w:rPr>
          <w:rFonts w:hint="eastAsia"/>
        </w:rPr>
        <w:t>主要是保健专业人员</w:t>
      </w:r>
      <w:r>
        <w:rPr>
          <w:rFonts w:hint="eastAsia"/>
        </w:rPr>
        <w:t>)</w:t>
      </w:r>
      <w:r>
        <w:rPr>
          <w:rFonts w:hint="eastAsia"/>
        </w:rPr>
        <w:t>进行甲型肝炎免疫，因此在这几类人中这种病的发生率可能会下降。</w:t>
      </w:r>
    </w:p>
    <w:p w:rsidR="00000000" w:rsidRDefault="00000000">
      <w:pPr>
        <w:rPr>
          <w:rFonts w:hint="eastAsia"/>
        </w:rPr>
      </w:pPr>
      <w:r>
        <w:rPr>
          <w:rFonts w:hint="eastAsia"/>
        </w:rPr>
        <w:tab/>
        <w:t>405.  1998</w:t>
      </w:r>
      <w:r>
        <w:rPr>
          <w:rFonts w:hint="eastAsia"/>
        </w:rPr>
        <w:t>年进行初步的白喉、破伤风、百日咳和小儿麻痹症疫苗的接种，成功率近</w:t>
      </w:r>
      <w:r>
        <w:rPr>
          <w:rFonts w:hint="eastAsia"/>
        </w:rPr>
        <w:t>94%</w:t>
      </w:r>
      <w:r>
        <w:rPr>
          <w:rFonts w:hint="eastAsia"/>
        </w:rPr>
        <w:t>，肺炎的成功率为</w:t>
      </w:r>
      <w:r>
        <w:rPr>
          <w:rFonts w:hint="eastAsia"/>
        </w:rPr>
        <w:t>97%</w:t>
      </w:r>
      <w:r>
        <w:rPr>
          <w:rFonts w:hint="eastAsia"/>
        </w:rPr>
        <w:t>，麻疹、风疹和流行性腮腺炎的成功率为</w:t>
      </w:r>
      <w:r>
        <w:rPr>
          <w:rFonts w:hint="eastAsia"/>
        </w:rPr>
        <w:t>93%</w:t>
      </w:r>
      <w:r>
        <w:rPr>
          <w:rFonts w:hint="eastAsia"/>
        </w:rPr>
        <w:t>。</w:t>
      </w:r>
    </w:p>
    <w:p w:rsidR="00000000" w:rsidRDefault="00000000">
      <w:pPr>
        <w:spacing w:after="320"/>
        <w:rPr>
          <w:rFonts w:hint="eastAsia"/>
        </w:rPr>
      </w:pPr>
      <w:r>
        <w:rPr>
          <w:rFonts w:hint="eastAsia"/>
        </w:rPr>
        <w:tab/>
        <w:t xml:space="preserve">406.  </w:t>
      </w:r>
      <w:r>
        <w:rPr>
          <w:rFonts w:hint="eastAsia"/>
        </w:rPr>
        <w:t>再次接种的覆盖率在</w:t>
      </w:r>
      <w:r>
        <w:rPr>
          <w:rFonts w:hint="eastAsia"/>
        </w:rPr>
        <w:t>94%(</w:t>
      </w:r>
      <w:r>
        <w:rPr>
          <w:rFonts w:hint="eastAsia"/>
        </w:rPr>
        <w:t>白破百疫苗</w:t>
      </w:r>
      <w:r>
        <w:rPr>
          <w:rFonts w:hint="eastAsia"/>
        </w:rPr>
        <w:t>)</w:t>
      </w:r>
      <w:r>
        <w:rPr>
          <w:rFonts w:hint="eastAsia"/>
        </w:rPr>
        <w:t>和</w:t>
      </w:r>
      <w:r>
        <w:rPr>
          <w:rFonts w:hint="eastAsia"/>
        </w:rPr>
        <w:t>97%(</w:t>
      </w:r>
      <w:r>
        <w:rPr>
          <w:rFonts w:hint="eastAsia"/>
        </w:rPr>
        <w:t>在</w:t>
      </w:r>
      <w:r>
        <w:rPr>
          <w:rFonts w:hint="eastAsia"/>
        </w:rPr>
        <w:t>14</w:t>
      </w:r>
      <w:r>
        <w:rPr>
          <w:rFonts w:hint="eastAsia"/>
        </w:rPr>
        <w:t>岁时的风疹疫苗接种</w:t>
      </w:r>
      <w:r>
        <w:rPr>
          <w:rFonts w:hint="eastAsia"/>
        </w:rPr>
        <w:t>)</w:t>
      </w:r>
      <w:r>
        <w:rPr>
          <w:rFonts w:hint="eastAsia"/>
        </w:rPr>
        <w:t>。</w:t>
      </w:r>
    </w:p>
    <w:p w:rsidR="00000000" w:rsidRDefault="00000000">
      <w:pPr>
        <w:pStyle w:val="Heading3"/>
        <w:rPr>
          <w:rFonts w:hint="eastAsia"/>
        </w:rPr>
      </w:pPr>
      <w:r>
        <w:rPr>
          <w:rFonts w:hint="eastAsia"/>
        </w:rPr>
        <w:t>第</w:t>
      </w:r>
      <w:r>
        <w:t xml:space="preserve"> </w:t>
      </w:r>
      <w:r>
        <w:rPr>
          <w:rFonts w:hint="eastAsia"/>
        </w:rPr>
        <w:t>13</w:t>
      </w:r>
      <w:r>
        <w:t xml:space="preserve"> </w:t>
      </w:r>
      <w:r>
        <w:rPr>
          <w:rFonts w:hint="eastAsia"/>
        </w:rPr>
        <w:t>条</w:t>
      </w:r>
    </w:p>
    <w:p w:rsidR="00000000" w:rsidRDefault="00000000">
      <w:pPr>
        <w:rPr>
          <w:rFonts w:hint="eastAsia"/>
        </w:rPr>
      </w:pPr>
      <w:r>
        <w:rPr>
          <w:rFonts w:hint="eastAsia"/>
        </w:rPr>
        <w:tab/>
        <w:t xml:space="preserve">407.  </w:t>
      </w:r>
      <w:r>
        <w:rPr>
          <w:rFonts w:hint="eastAsia"/>
        </w:rPr>
        <w:t>在克罗地亚共和国，人人可以得到免费的初等教育。初等教育是义务性的。人人可以根据自己的能力在平等的条件下获得中高等教育。在正常时期不读完初等学校的学生很少。这种学生可以免费上夜校。</w:t>
      </w:r>
    </w:p>
    <w:p w:rsidR="00000000" w:rsidRDefault="00000000">
      <w:pPr>
        <w:rPr>
          <w:rFonts w:hint="eastAsia"/>
        </w:rPr>
      </w:pPr>
      <w:r>
        <w:rPr>
          <w:rFonts w:hint="eastAsia"/>
        </w:rPr>
        <w:tab/>
        <w:t xml:space="preserve">408.  </w:t>
      </w:r>
      <w:r>
        <w:rPr>
          <w:rFonts w:hint="eastAsia"/>
        </w:rPr>
        <w:t>对于</w:t>
      </w:r>
      <w:r>
        <w:rPr>
          <w:rFonts w:hint="eastAsia"/>
        </w:rPr>
        <w:t>15</w:t>
      </w:r>
      <w:r>
        <w:rPr>
          <w:rFonts w:hint="eastAsia"/>
        </w:rPr>
        <w:t>岁以上因某种原因而没有读完初等小学的人，设有一种成人初等教育制度。初等教育的宗旨和目标是根据学生的能力经常不断地在心理、生理、伦理、智育和社会方面使其得到发展。为了提高认识，增加各民族、种族、族裔和宗教群体之间的容忍和友谊，目前已采用并正在实行适当的教学大纲，如人权以及民主和公民素养方面的教育大纲，目前在所有科目中以学科间的方式实行，作为</w:t>
      </w:r>
      <w:r>
        <w:rPr>
          <w:rFonts w:hint="eastAsia"/>
        </w:rPr>
        <w:t>5-8</w:t>
      </w:r>
      <w:r>
        <w:rPr>
          <w:rFonts w:hint="eastAsia"/>
        </w:rPr>
        <w:t>年级学生设计课课外活动中的一门选修课。由于在小学作为选修课实行祷告式宗教教育，宗教团体能够为它们在学校的成员安排宗教教育。现在已能够根据具体的教育原则开展替代性初等教育，作为私人学校系统的一部分</w:t>
      </w:r>
      <w:r>
        <w:rPr>
          <w:rFonts w:hint="eastAsia"/>
        </w:rPr>
        <w:t>(</w:t>
      </w:r>
      <w:r>
        <w:t>Waldorf)</w:t>
      </w:r>
      <w:r>
        <w:rPr>
          <w:rFonts w:hint="eastAsia"/>
        </w:rPr>
        <w:t>。现有的小学网络使所有儿童能够获得正规的小学教育，现正在努力与教师联合会密切合作执行已达成的集体协议，改进教师的教材状况。</w:t>
      </w:r>
    </w:p>
    <w:p w:rsidR="00000000" w:rsidRDefault="00000000">
      <w:pPr>
        <w:rPr>
          <w:rFonts w:hint="eastAsia"/>
        </w:rPr>
      </w:pPr>
      <w:r>
        <w:rPr>
          <w:rFonts w:hint="eastAsia"/>
        </w:rPr>
        <w:tab/>
        <w:t xml:space="preserve">409.  </w:t>
      </w:r>
      <w:r>
        <w:rPr>
          <w:rFonts w:hint="eastAsia"/>
        </w:rPr>
        <w:t>除了由国家供资的公立中学外，还有一个得到承认的私立中学和宗教学校网络，这种学校可以预先经教育和体育部长同意而设立；这些学校基本上拥有与公立学校同样的权利和义务。因此，学生及其家长拥有根据实际能力和选择权挑选适当教育形式的权利。</w:t>
      </w:r>
    </w:p>
    <w:p w:rsidR="00000000" w:rsidRDefault="00000000">
      <w:pPr>
        <w:rPr>
          <w:rFonts w:hint="eastAsia"/>
        </w:rPr>
      </w:pPr>
      <w:r>
        <w:rPr>
          <w:rFonts w:hint="eastAsia"/>
        </w:rPr>
        <w:tab/>
        <w:t xml:space="preserve">410.  </w:t>
      </w:r>
      <w:r>
        <w:rPr>
          <w:rFonts w:hint="eastAsia"/>
        </w:rPr>
        <w:t>在过渡初期和对克罗地亚发生侵略之前，克罗地亚共和国最高代表和执行机构确定了教育改革和发展方案，为教育结构和内容的彻底改革提供了机制。</w:t>
      </w:r>
    </w:p>
    <w:p w:rsidR="00000000" w:rsidRDefault="00000000">
      <w:pPr>
        <w:rPr>
          <w:rFonts w:hint="eastAsia"/>
        </w:rPr>
      </w:pPr>
      <w:r>
        <w:rPr>
          <w:rFonts w:hint="eastAsia"/>
        </w:rPr>
        <w:tab/>
        <w:t xml:space="preserve">411.  </w:t>
      </w:r>
      <w:r>
        <w:rPr>
          <w:rFonts w:hint="eastAsia"/>
        </w:rPr>
        <w:t>这项改革方案已完全实现。原先是中学实行约</w:t>
      </w:r>
      <w:r>
        <w:rPr>
          <w:rFonts w:hint="eastAsia"/>
        </w:rPr>
        <w:t>80%</w:t>
      </w:r>
      <w:r>
        <w:rPr>
          <w:rFonts w:hint="eastAsia"/>
        </w:rPr>
        <w:t>的共同基础课统一，课程主要适合特定的思想体系，另外</w:t>
      </w:r>
      <w:r>
        <w:rPr>
          <w:rFonts w:hint="eastAsia"/>
        </w:rPr>
        <w:t>20%</w:t>
      </w:r>
      <w:r>
        <w:rPr>
          <w:rFonts w:hint="eastAsia"/>
        </w:rPr>
        <w:t>可以按专业有所不同，这种情况就学习一般知识和专业技能而言，造成教育成果不足</w:t>
      </w:r>
      <w:r>
        <w:rPr>
          <w:rFonts w:hint="eastAsia"/>
        </w:rPr>
        <w:t>(</w:t>
      </w:r>
      <w:r>
        <w:rPr>
          <w:rFonts w:hint="eastAsia"/>
        </w:rPr>
        <w:t>因为它适应于所有人的平均能力</w:t>
      </w:r>
      <w:r>
        <w:rPr>
          <w:rFonts w:hint="eastAsia"/>
        </w:rPr>
        <w:t>)</w:t>
      </w:r>
      <w:r>
        <w:rPr>
          <w:rFonts w:hint="eastAsia"/>
        </w:rPr>
        <w:t>，因此现在已实行学校种类多样化政策</w:t>
      </w:r>
      <w:r>
        <w:rPr>
          <w:rFonts w:hint="eastAsia"/>
        </w:rPr>
        <w:t>(</w:t>
      </w:r>
      <w:r>
        <w:rPr>
          <w:rFonts w:hint="eastAsia"/>
        </w:rPr>
        <w:t>高中、技术学校、四年制中等职业学校、三年制贸易和有关的学校、艺术学校等等</w:t>
      </w:r>
      <w:r>
        <w:rPr>
          <w:rFonts w:hint="eastAsia"/>
        </w:rPr>
        <w:t>)</w:t>
      </w:r>
      <w:r>
        <w:rPr>
          <w:rFonts w:hint="eastAsia"/>
        </w:rPr>
        <w:t>。中小学获得了新的课程，配置新课本和必要的教具。</w:t>
      </w:r>
    </w:p>
    <w:p w:rsidR="00000000" w:rsidRDefault="00000000">
      <w:pPr>
        <w:rPr>
          <w:rFonts w:hint="eastAsia"/>
        </w:rPr>
      </w:pPr>
      <w:r>
        <w:rPr>
          <w:rFonts w:hint="eastAsia"/>
        </w:rPr>
        <w:tab/>
        <w:t xml:space="preserve">412.  </w:t>
      </w:r>
      <w:r>
        <w:rPr>
          <w:rFonts w:hint="eastAsia"/>
        </w:rPr>
        <w:t>如教育发展若干阶段的成绩调查以及在国际一级的成绩</w:t>
      </w:r>
      <w:r>
        <w:rPr>
          <w:rFonts w:hint="eastAsia"/>
        </w:rPr>
        <w:t>(</w:t>
      </w:r>
      <w:r>
        <w:rPr>
          <w:rFonts w:hint="eastAsia"/>
        </w:rPr>
        <w:t>所获成绩、国际学生竞赛等等</w:t>
      </w:r>
      <w:r>
        <w:rPr>
          <w:rFonts w:hint="eastAsia"/>
        </w:rPr>
        <w:t>)</w:t>
      </w:r>
      <w:r>
        <w:rPr>
          <w:rFonts w:hint="eastAsia"/>
        </w:rPr>
        <w:t>所示，上述措施总的来说是提高了各级的教育质量。同时，教育更加普及</w:t>
      </w:r>
      <w:r>
        <w:rPr>
          <w:rFonts w:hint="eastAsia"/>
        </w:rPr>
        <w:t>(</w:t>
      </w:r>
      <w:r>
        <w:rPr>
          <w:rFonts w:hint="eastAsia"/>
        </w:rPr>
        <w:t>学校更多</w:t>
      </w:r>
      <w:r>
        <w:rPr>
          <w:rFonts w:hint="eastAsia"/>
        </w:rPr>
        <w:t>)</w:t>
      </w:r>
      <w:r>
        <w:rPr>
          <w:rFonts w:hint="eastAsia"/>
        </w:rPr>
        <w:t>。</w:t>
      </w:r>
    </w:p>
    <w:p w:rsidR="00000000" w:rsidRDefault="00000000">
      <w:pPr>
        <w:spacing w:after="240"/>
        <w:rPr>
          <w:rFonts w:hint="eastAsia"/>
        </w:rPr>
      </w:pPr>
      <w:r>
        <w:rPr>
          <w:rFonts w:hint="eastAsia"/>
        </w:rPr>
        <w:tab/>
        <w:t xml:space="preserve">413.  </w:t>
      </w:r>
      <w:r>
        <w:rPr>
          <w:rFonts w:hint="eastAsia"/>
        </w:rPr>
        <w:t>克罗地亚的特点是</w:t>
      </w:r>
      <w:r>
        <w:rPr>
          <w:rFonts w:hint="eastAsia"/>
        </w:rPr>
        <w:t>100%</w:t>
      </w:r>
      <w:r>
        <w:rPr>
          <w:rFonts w:hint="eastAsia"/>
        </w:rPr>
        <w:t>识字率。</w:t>
      </w:r>
    </w:p>
    <w:p w:rsidR="00000000" w:rsidRDefault="00000000">
      <w:pPr>
        <w:pStyle w:val="Heading3"/>
        <w:rPr>
          <w:rFonts w:hint="eastAsia"/>
          <w:sz w:val="22"/>
        </w:rPr>
      </w:pPr>
      <w:r>
        <w:rPr>
          <w:rFonts w:hint="eastAsia"/>
          <w:sz w:val="22"/>
        </w:rPr>
        <w:t>表：政府对教育和文化的支出</w:t>
      </w:r>
      <w:r>
        <w:rPr>
          <w:rFonts w:hint="eastAsia"/>
          <w:sz w:val="22"/>
        </w:rPr>
        <w:t xml:space="preserve"> * </w:t>
      </w:r>
      <w:r>
        <w:rPr>
          <w:rFonts w:hint="eastAsia"/>
          <w:sz w:val="22"/>
        </w:rPr>
        <w:t>总额和占</w:t>
      </w:r>
      <w:r>
        <w:rPr>
          <w:rFonts w:hint="eastAsia"/>
          <w:sz w:val="22"/>
        </w:rPr>
        <w:t>GDP</w:t>
      </w:r>
      <w:r>
        <w:rPr>
          <w:rFonts w:hint="eastAsia"/>
          <w:sz w:val="22"/>
        </w:rPr>
        <w:t>的百分比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2640"/>
        <w:gridCol w:w="2750"/>
        <w:gridCol w:w="2393"/>
      </w:tblGrid>
      <w:tr w:rsidR="00000000">
        <w:tblPrEx>
          <w:tblCellMar>
            <w:top w:w="0" w:type="dxa"/>
            <w:bottom w:w="0" w:type="dxa"/>
          </w:tblCellMar>
        </w:tblPrEx>
        <w:tc>
          <w:tcPr>
            <w:tcW w:w="1788" w:type="dxa"/>
          </w:tcPr>
          <w:p w:rsidR="00000000" w:rsidRDefault="00000000">
            <w:pPr>
              <w:spacing w:before="120"/>
              <w:jc w:val="center"/>
              <w:rPr>
                <w:rFonts w:hint="eastAsia"/>
                <w:sz w:val="22"/>
              </w:rPr>
            </w:pPr>
            <w:r>
              <w:rPr>
                <w:rFonts w:hint="eastAsia"/>
                <w:sz w:val="22"/>
              </w:rPr>
              <w:t>年</w:t>
            </w:r>
            <w:r>
              <w:rPr>
                <w:rFonts w:hint="eastAsia"/>
                <w:sz w:val="22"/>
              </w:rPr>
              <w:t xml:space="preserve">  </w:t>
            </w:r>
            <w:r>
              <w:rPr>
                <w:rFonts w:hint="eastAsia"/>
                <w:sz w:val="22"/>
              </w:rPr>
              <w:t>份</w:t>
            </w:r>
          </w:p>
        </w:tc>
        <w:tc>
          <w:tcPr>
            <w:tcW w:w="2640" w:type="dxa"/>
          </w:tcPr>
          <w:p w:rsidR="00000000" w:rsidRDefault="00000000">
            <w:pPr>
              <w:spacing w:before="120"/>
              <w:jc w:val="center"/>
              <w:rPr>
                <w:rFonts w:hint="eastAsia"/>
                <w:sz w:val="22"/>
              </w:rPr>
            </w:pPr>
            <w:r>
              <w:rPr>
                <w:rFonts w:hint="eastAsia"/>
                <w:sz w:val="22"/>
              </w:rPr>
              <w:t>国内总产值</w:t>
            </w:r>
          </w:p>
        </w:tc>
        <w:tc>
          <w:tcPr>
            <w:tcW w:w="2750" w:type="dxa"/>
          </w:tcPr>
          <w:p w:rsidR="00000000" w:rsidRDefault="00000000">
            <w:pPr>
              <w:spacing w:before="120"/>
              <w:jc w:val="center"/>
              <w:rPr>
                <w:rFonts w:hint="eastAsia"/>
                <w:sz w:val="22"/>
              </w:rPr>
            </w:pPr>
            <w:r>
              <w:rPr>
                <w:rFonts w:hint="eastAsia"/>
                <w:sz w:val="22"/>
              </w:rPr>
              <w:t>教育和文化</w:t>
            </w:r>
          </w:p>
        </w:tc>
        <w:tc>
          <w:tcPr>
            <w:tcW w:w="2393" w:type="dxa"/>
          </w:tcPr>
          <w:p w:rsidR="00000000" w:rsidRDefault="00000000">
            <w:pPr>
              <w:spacing w:before="120"/>
              <w:jc w:val="center"/>
              <w:rPr>
                <w:rFonts w:hint="eastAsia"/>
                <w:sz w:val="22"/>
              </w:rPr>
            </w:pPr>
            <w:r>
              <w:rPr>
                <w:rFonts w:hint="eastAsia"/>
                <w:sz w:val="22"/>
              </w:rPr>
              <w:t>占</w:t>
            </w:r>
            <w:r>
              <w:rPr>
                <w:rFonts w:hint="eastAsia"/>
                <w:sz w:val="22"/>
              </w:rPr>
              <w:t>GDP</w:t>
            </w:r>
            <w:r>
              <w:rPr>
                <w:rFonts w:hint="eastAsia"/>
                <w:sz w:val="22"/>
              </w:rPr>
              <w:t>的百分比</w:t>
            </w:r>
          </w:p>
        </w:tc>
      </w:tr>
      <w:tr w:rsidR="00000000">
        <w:tblPrEx>
          <w:tblCellMar>
            <w:top w:w="0" w:type="dxa"/>
            <w:bottom w:w="0" w:type="dxa"/>
          </w:tblCellMar>
        </w:tblPrEx>
        <w:tc>
          <w:tcPr>
            <w:tcW w:w="1788" w:type="dxa"/>
          </w:tcPr>
          <w:p w:rsidR="00000000" w:rsidRDefault="00000000">
            <w:pPr>
              <w:spacing w:before="120"/>
              <w:jc w:val="center"/>
              <w:rPr>
                <w:rFonts w:hint="eastAsia"/>
                <w:sz w:val="22"/>
              </w:rPr>
            </w:pPr>
            <w:r>
              <w:rPr>
                <w:rFonts w:hint="eastAsia"/>
                <w:sz w:val="22"/>
              </w:rPr>
              <w:t>1990</w:t>
            </w:r>
          </w:p>
        </w:tc>
        <w:tc>
          <w:tcPr>
            <w:tcW w:w="2640" w:type="dxa"/>
          </w:tcPr>
          <w:p w:rsidR="00000000" w:rsidRDefault="00000000">
            <w:pPr>
              <w:spacing w:before="120"/>
              <w:ind w:right="737"/>
              <w:jc w:val="right"/>
              <w:rPr>
                <w:rFonts w:hint="eastAsia"/>
                <w:sz w:val="22"/>
              </w:rPr>
            </w:pPr>
            <w:r>
              <w:rPr>
                <w:rFonts w:hint="eastAsia"/>
                <w:sz w:val="22"/>
              </w:rPr>
              <w:t>252,722</w:t>
            </w:r>
          </w:p>
        </w:tc>
        <w:tc>
          <w:tcPr>
            <w:tcW w:w="2750" w:type="dxa"/>
          </w:tcPr>
          <w:p w:rsidR="00000000" w:rsidRDefault="00000000">
            <w:pPr>
              <w:spacing w:before="120"/>
              <w:ind w:right="907"/>
              <w:jc w:val="right"/>
              <w:rPr>
                <w:rFonts w:hint="eastAsia"/>
                <w:sz w:val="22"/>
              </w:rPr>
            </w:pPr>
            <w:r>
              <w:rPr>
                <w:rFonts w:hint="eastAsia"/>
                <w:sz w:val="22"/>
              </w:rPr>
              <w:t>20,112</w:t>
            </w:r>
          </w:p>
        </w:tc>
        <w:tc>
          <w:tcPr>
            <w:tcW w:w="2393" w:type="dxa"/>
          </w:tcPr>
          <w:p w:rsidR="00000000" w:rsidRDefault="00000000">
            <w:pPr>
              <w:spacing w:before="120"/>
              <w:jc w:val="center"/>
              <w:rPr>
                <w:rFonts w:hint="eastAsia"/>
                <w:sz w:val="22"/>
              </w:rPr>
            </w:pPr>
            <w:r>
              <w:rPr>
                <w:rFonts w:hint="eastAsia"/>
                <w:sz w:val="22"/>
              </w:rPr>
              <w:t>7.95</w:t>
            </w:r>
          </w:p>
        </w:tc>
      </w:tr>
      <w:tr w:rsidR="00000000">
        <w:tblPrEx>
          <w:tblCellMar>
            <w:top w:w="0" w:type="dxa"/>
            <w:bottom w:w="0" w:type="dxa"/>
          </w:tblCellMar>
        </w:tblPrEx>
        <w:tc>
          <w:tcPr>
            <w:tcW w:w="1788" w:type="dxa"/>
          </w:tcPr>
          <w:p w:rsidR="00000000" w:rsidRDefault="00000000">
            <w:pPr>
              <w:spacing w:before="120"/>
              <w:jc w:val="center"/>
              <w:rPr>
                <w:rFonts w:hint="eastAsia"/>
                <w:sz w:val="22"/>
              </w:rPr>
            </w:pPr>
            <w:r>
              <w:rPr>
                <w:rFonts w:hint="eastAsia"/>
                <w:sz w:val="22"/>
              </w:rPr>
              <w:t>1991</w:t>
            </w:r>
          </w:p>
        </w:tc>
        <w:tc>
          <w:tcPr>
            <w:tcW w:w="2640" w:type="dxa"/>
          </w:tcPr>
          <w:p w:rsidR="00000000" w:rsidRDefault="00000000">
            <w:pPr>
              <w:spacing w:before="120"/>
              <w:ind w:right="737"/>
              <w:jc w:val="right"/>
              <w:rPr>
                <w:rFonts w:hint="eastAsia"/>
                <w:sz w:val="22"/>
              </w:rPr>
            </w:pPr>
            <w:r>
              <w:rPr>
                <w:rFonts w:hint="eastAsia"/>
                <w:sz w:val="22"/>
              </w:rPr>
              <w:t>373,873</w:t>
            </w:r>
          </w:p>
        </w:tc>
        <w:tc>
          <w:tcPr>
            <w:tcW w:w="2750" w:type="dxa"/>
          </w:tcPr>
          <w:p w:rsidR="00000000" w:rsidRDefault="00000000">
            <w:pPr>
              <w:spacing w:before="120"/>
              <w:ind w:right="907"/>
              <w:jc w:val="right"/>
              <w:rPr>
                <w:rFonts w:hint="eastAsia"/>
                <w:sz w:val="22"/>
              </w:rPr>
            </w:pPr>
            <w:r>
              <w:rPr>
                <w:rFonts w:hint="eastAsia"/>
                <w:sz w:val="22"/>
              </w:rPr>
              <w:t>24,272</w:t>
            </w:r>
          </w:p>
        </w:tc>
        <w:tc>
          <w:tcPr>
            <w:tcW w:w="2393" w:type="dxa"/>
          </w:tcPr>
          <w:p w:rsidR="00000000" w:rsidRDefault="00000000">
            <w:pPr>
              <w:spacing w:before="120"/>
              <w:jc w:val="center"/>
              <w:rPr>
                <w:rFonts w:hint="eastAsia"/>
                <w:sz w:val="22"/>
              </w:rPr>
            </w:pPr>
            <w:r>
              <w:rPr>
                <w:rFonts w:hint="eastAsia"/>
                <w:sz w:val="22"/>
              </w:rPr>
              <w:t>6.49</w:t>
            </w:r>
          </w:p>
        </w:tc>
      </w:tr>
      <w:tr w:rsidR="00000000">
        <w:tblPrEx>
          <w:tblCellMar>
            <w:top w:w="0" w:type="dxa"/>
            <w:bottom w:w="0" w:type="dxa"/>
          </w:tblCellMar>
        </w:tblPrEx>
        <w:tc>
          <w:tcPr>
            <w:tcW w:w="1788" w:type="dxa"/>
          </w:tcPr>
          <w:p w:rsidR="00000000" w:rsidRDefault="00000000">
            <w:pPr>
              <w:spacing w:before="120"/>
              <w:jc w:val="center"/>
              <w:rPr>
                <w:rFonts w:hint="eastAsia"/>
                <w:sz w:val="22"/>
              </w:rPr>
            </w:pPr>
            <w:r>
              <w:rPr>
                <w:rFonts w:hint="eastAsia"/>
                <w:sz w:val="22"/>
              </w:rPr>
              <w:t>1992</w:t>
            </w:r>
          </w:p>
        </w:tc>
        <w:tc>
          <w:tcPr>
            <w:tcW w:w="2640" w:type="dxa"/>
          </w:tcPr>
          <w:p w:rsidR="00000000" w:rsidRDefault="00000000">
            <w:pPr>
              <w:spacing w:before="120"/>
              <w:ind w:right="737"/>
              <w:jc w:val="right"/>
              <w:rPr>
                <w:rFonts w:hint="eastAsia"/>
                <w:sz w:val="22"/>
              </w:rPr>
            </w:pPr>
            <w:r>
              <w:rPr>
                <w:rFonts w:hint="eastAsia"/>
                <w:sz w:val="22"/>
              </w:rPr>
              <w:t>2,294,008</w:t>
            </w:r>
          </w:p>
        </w:tc>
        <w:tc>
          <w:tcPr>
            <w:tcW w:w="2750" w:type="dxa"/>
          </w:tcPr>
          <w:p w:rsidR="00000000" w:rsidRDefault="00000000">
            <w:pPr>
              <w:spacing w:before="120"/>
              <w:ind w:right="907"/>
              <w:jc w:val="right"/>
              <w:rPr>
                <w:rFonts w:hint="eastAsia"/>
                <w:sz w:val="22"/>
              </w:rPr>
            </w:pPr>
            <w:r>
              <w:rPr>
                <w:rFonts w:hint="eastAsia"/>
                <w:sz w:val="22"/>
              </w:rPr>
              <w:t>104,980</w:t>
            </w:r>
          </w:p>
        </w:tc>
        <w:tc>
          <w:tcPr>
            <w:tcW w:w="2393" w:type="dxa"/>
          </w:tcPr>
          <w:p w:rsidR="00000000" w:rsidRDefault="00000000">
            <w:pPr>
              <w:spacing w:before="120"/>
              <w:jc w:val="center"/>
              <w:rPr>
                <w:rFonts w:hint="eastAsia"/>
                <w:sz w:val="22"/>
              </w:rPr>
            </w:pPr>
            <w:r>
              <w:rPr>
                <w:rFonts w:hint="eastAsia"/>
                <w:sz w:val="22"/>
              </w:rPr>
              <w:t>4.57</w:t>
            </w:r>
          </w:p>
        </w:tc>
      </w:tr>
      <w:tr w:rsidR="00000000">
        <w:tblPrEx>
          <w:tblCellMar>
            <w:top w:w="0" w:type="dxa"/>
            <w:bottom w:w="0" w:type="dxa"/>
          </w:tblCellMar>
        </w:tblPrEx>
        <w:tc>
          <w:tcPr>
            <w:tcW w:w="1788" w:type="dxa"/>
          </w:tcPr>
          <w:p w:rsidR="00000000" w:rsidRDefault="00000000">
            <w:pPr>
              <w:spacing w:before="120"/>
              <w:jc w:val="center"/>
              <w:rPr>
                <w:rFonts w:hint="eastAsia"/>
                <w:sz w:val="22"/>
              </w:rPr>
            </w:pPr>
            <w:r>
              <w:rPr>
                <w:rFonts w:hint="eastAsia"/>
                <w:sz w:val="22"/>
              </w:rPr>
              <w:t>1993</w:t>
            </w:r>
          </w:p>
        </w:tc>
        <w:tc>
          <w:tcPr>
            <w:tcW w:w="2640" w:type="dxa"/>
          </w:tcPr>
          <w:p w:rsidR="00000000" w:rsidRDefault="00000000">
            <w:pPr>
              <w:spacing w:before="120"/>
              <w:ind w:right="737"/>
              <w:jc w:val="right"/>
              <w:rPr>
                <w:rFonts w:hint="eastAsia"/>
                <w:sz w:val="22"/>
              </w:rPr>
            </w:pPr>
            <w:r>
              <w:rPr>
                <w:rFonts w:hint="eastAsia"/>
                <w:sz w:val="22"/>
              </w:rPr>
              <w:t>36,023,002</w:t>
            </w:r>
          </w:p>
        </w:tc>
        <w:tc>
          <w:tcPr>
            <w:tcW w:w="2750" w:type="dxa"/>
          </w:tcPr>
          <w:p w:rsidR="00000000" w:rsidRDefault="00000000">
            <w:pPr>
              <w:spacing w:before="120"/>
              <w:ind w:right="907"/>
              <w:jc w:val="right"/>
              <w:rPr>
                <w:rFonts w:hint="eastAsia"/>
                <w:sz w:val="22"/>
              </w:rPr>
            </w:pPr>
            <w:r>
              <w:rPr>
                <w:rFonts w:hint="eastAsia"/>
                <w:sz w:val="22"/>
              </w:rPr>
              <w:t>1,745,817</w:t>
            </w:r>
          </w:p>
        </w:tc>
        <w:tc>
          <w:tcPr>
            <w:tcW w:w="2393" w:type="dxa"/>
          </w:tcPr>
          <w:p w:rsidR="00000000" w:rsidRDefault="00000000">
            <w:pPr>
              <w:spacing w:before="120"/>
              <w:jc w:val="center"/>
              <w:rPr>
                <w:rFonts w:hint="eastAsia"/>
                <w:sz w:val="22"/>
              </w:rPr>
            </w:pPr>
            <w:r>
              <w:rPr>
                <w:rFonts w:hint="eastAsia"/>
                <w:sz w:val="22"/>
              </w:rPr>
              <w:t>4.85</w:t>
            </w:r>
          </w:p>
        </w:tc>
      </w:tr>
      <w:tr w:rsidR="00000000">
        <w:tblPrEx>
          <w:tblCellMar>
            <w:top w:w="0" w:type="dxa"/>
            <w:bottom w:w="0" w:type="dxa"/>
          </w:tblCellMar>
        </w:tblPrEx>
        <w:tc>
          <w:tcPr>
            <w:tcW w:w="1788" w:type="dxa"/>
          </w:tcPr>
          <w:p w:rsidR="00000000" w:rsidRDefault="00000000">
            <w:pPr>
              <w:spacing w:before="120"/>
              <w:jc w:val="center"/>
              <w:rPr>
                <w:rFonts w:hint="eastAsia"/>
                <w:sz w:val="22"/>
              </w:rPr>
            </w:pPr>
            <w:r>
              <w:rPr>
                <w:rFonts w:hint="eastAsia"/>
                <w:sz w:val="22"/>
              </w:rPr>
              <w:t>1994</w:t>
            </w:r>
          </w:p>
        </w:tc>
        <w:tc>
          <w:tcPr>
            <w:tcW w:w="2640" w:type="dxa"/>
          </w:tcPr>
          <w:p w:rsidR="00000000" w:rsidRDefault="00000000">
            <w:pPr>
              <w:spacing w:before="120"/>
              <w:ind w:right="737"/>
              <w:jc w:val="right"/>
              <w:rPr>
                <w:rFonts w:hint="eastAsia"/>
                <w:sz w:val="22"/>
              </w:rPr>
            </w:pPr>
            <w:r>
              <w:rPr>
                <w:rFonts w:hint="eastAsia"/>
                <w:sz w:val="22"/>
              </w:rPr>
              <w:t>68,262,493</w:t>
            </w:r>
          </w:p>
        </w:tc>
        <w:tc>
          <w:tcPr>
            <w:tcW w:w="2750" w:type="dxa"/>
          </w:tcPr>
          <w:p w:rsidR="00000000" w:rsidRDefault="00000000">
            <w:pPr>
              <w:spacing w:before="120"/>
              <w:ind w:right="907"/>
              <w:jc w:val="right"/>
              <w:rPr>
                <w:rFonts w:hint="eastAsia"/>
                <w:sz w:val="22"/>
              </w:rPr>
            </w:pPr>
            <w:r>
              <w:rPr>
                <w:rFonts w:hint="eastAsia"/>
                <w:sz w:val="22"/>
              </w:rPr>
              <w:t>4,245,828</w:t>
            </w:r>
          </w:p>
        </w:tc>
        <w:tc>
          <w:tcPr>
            <w:tcW w:w="2393" w:type="dxa"/>
          </w:tcPr>
          <w:p w:rsidR="00000000" w:rsidRDefault="00000000">
            <w:pPr>
              <w:spacing w:before="120"/>
              <w:jc w:val="center"/>
              <w:rPr>
                <w:rFonts w:hint="eastAsia"/>
                <w:sz w:val="22"/>
              </w:rPr>
            </w:pPr>
            <w:r>
              <w:rPr>
                <w:rFonts w:hint="eastAsia"/>
                <w:sz w:val="22"/>
              </w:rPr>
              <w:t>6.21</w:t>
            </w:r>
          </w:p>
        </w:tc>
      </w:tr>
      <w:tr w:rsidR="00000000">
        <w:tblPrEx>
          <w:tblCellMar>
            <w:top w:w="0" w:type="dxa"/>
            <w:bottom w:w="0" w:type="dxa"/>
          </w:tblCellMar>
        </w:tblPrEx>
        <w:tc>
          <w:tcPr>
            <w:tcW w:w="1788" w:type="dxa"/>
          </w:tcPr>
          <w:p w:rsidR="00000000" w:rsidRDefault="00000000">
            <w:pPr>
              <w:spacing w:before="120"/>
              <w:jc w:val="center"/>
              <w:rPr>
                <w:rFonts w:hint="eastAsia"/>
                <w:sz w:val="22"/>
              </w:rPr>
            </w:pPr>
            <w:r>
              <w:rPr>
                <w:rFonts w:hint="eastAsia"/>
                <w:sz w:val="22"/>
              </w:rPr>
              <w:t>1995</w:t>
            </w:r>
          </w:p>
        </w:tc>
        <w:tc>
          <w:tcPr>
            <w:tcW w:w="2640" w:type="dxa"/>
          </w:tcPr>
          <w:p w:rsidR="00000000" w:rsidRDefault="00000000">
            <w:pPr>
              <w:spacing w:before="120"/>
              <w:ind w:right="737"/>
              <w:jc w:val="right"/>
              <w:rPr>
                <w:rFonts w:hint="eastAsia"/>
                <w:sz w:val="22"/>
              </w:rPr>
            </w:pPr>
            <w:r>
              <w:rPr>
                <w:rFonts w:hint="eastAsia"/>
                <w:sz w:val="22"/>
              </w:rPr>
              <w:t>74,827,922</w:t>
            </w:r>
          </w:p>
        </w:tc>
        <w:tc>
          <w:tcPr>
            <w:tcW w:w="2750" w:type="dxa"/>
          </w:tcPr>
          <w:p w:rsidR="00000000" w:rsidRDefault="00000000">
            <w:pPr>
              <w:spacing w:before="120"/>
              <w:ind w:right="907"/>
              <w:jc w:val="right"/>
              <w:rPr>
                <w:rFonts w:hint="eastAsia"/>
                <w:sz w:val="22"/>
              </w:rPr>
            </w:pPr>
            <w:r>
              <w:rPr>
                <w:rFonts w:hint="eastAsia"/>
                <w:sz w:val="22"/>
              </w:rPr>
              <w:t>4,971,864</w:t>
            </w:r>
          </w:p>
        </w:tc>
        <w:tc>
          <w:tcPr>
            <w:tcW w:w="2393" w:type="dxa"/>
          </w:tcPr>
          <w:p w:rsidR="00000000" w:rsidRDefault="00000000">
            <w:pPr>
              <w:spacing w:before="120"/>
              <w:jc w:val="center"/>
              <w:rPr>
                <w:rFonts w:hint="eastAsia"/>
                <w:sz w:val="22"/>
              </w:rPr>
            </w:pPr>
            <w:r>
              <w:rPr>
                <w:rFonts w:hint="eastAsia"/>
                <w:sz w:val="22"/>
              </w:rPr>
              <w:t>6.64</w:t>
            </w:r>
          </w:p>
        </w:tc>
      </w:tr>
    </w:tbl>
    <w:p w:rsidR="00000000" w:rsidRDefault="00000000">
      <w:pPr>
        <w:rPr>
          <w:rFonts w:eastAsia="KaiTi_GB2312"/>
          <w:snapToGrid/>
          <w:spacing w:val="0"/>
          <w:sz w:val="22"/>
        </w:rPr>
      </w:pPr>
    </w:p>
    <w:p w:rsidR="00000000" w:rsidRDefault="00000000">
      <w:pPr>
        <w:spacing w:after="320"/>
        <w:rPr>
          <w:rFonts w:eastAsia="KaiTi_GB2312" w:hint="eastAsia"/>
          <w:snapToGrid/>
          <w:spacing w:val="0"/>
          <w:sz w:val="22"/>
        </w:rPr>
      </w:pPr>
      <w:r>
        <w:rPr>
          <w:rFonts w:eastAsia="KaiTi_GB2312" w:hint="eastAsia"/>
          <w:snapToGrid/>
          <w:spacing w:val="0"/>
          <w:sz w:val="22"/>
        </w:rPr>
        <w:t xml:space="preserve">*  </w:t>
      </w:r>
      <w:r>
        <w:rPr>
          <w:rFonts w:eastAsia="KaiTi_GB2312" w:hint="eastAsia"/>
          <w:snapToGrid/>
          <w:spacing w:val="0"/>
          <w:sz w:val="22"/>
        </w:rPr>
        <w:t>官方统计只表示对教育和文化总支出。</w:t>
      </w:r>
    </w:p>
    <w:p w:rsidR="00000000" w:rsidRDefault="00000000">
      <w:pPr>
        <w:pStyle w:val="Heading3"/>
        <w:spacing w:before="120" w:after="120"/>
        <w:rPr>
          <w:rFonts w:hint="eastAsia"/>
          <w:sz w:val="22"/>
        </w:rPr>
      </w:pPr>
      <w:r>
        <w:rPr>
          <w:rFonts w:hint="eastAsia"/>
          <w:sz w:val="22"/>
        </w:rPr>
        <w:t>表：政府在若干教育层次方面的支出分布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2093"/>
        <w:gridCol w:w="1826"/>
        <w:gridCol w:w="1080"/>
        <w:gridCol w:w="2040"/>
        <w:gridCol w:w="1063"/>
      </w:tblGrid>
      <w:tr w:rsidR="00000000">
        <w:tblPrEx>
          <w:tblCellMar>
            <w:top w:w="0" w:type="dxa"/>
            <w:bottom w:w="0" w:type="dxa"/>
          </w:tblCellMar>
        </w:tblPrEx>
        <w:tc>
          <w:tcPr>
            <w:tcW w:w="1469" w:type="dxa"/>
          </w:tcPr>
          <w:p w:rsidR="00000000" w:rsidRDefault="00000000">
            <w:pPr>
              <w:spacing w:before="120"/>
              <w:jc w:val="center"/>
              <w:rPr>
                <w:rFonts w:hint="eastAsia"/>
                <w:sz w:val="22"/>
              </w:rPr>
            </w:pPr>
            <w:r>
              <w:rPr>
                <w:rFonts w:hint="eastAsia"/>
                <w:sz w:val="22"/>
              </w:rPr>
              <w:t>年份</w:t>
            </w:r>
          </w:p>
        </w:tc>
        <w:tc>
          <w:tcPr>
            <w:tcW w:w="2093" w:type="dxa"/>
          </w:tcPr>
          <w:p w:rsidR="00000000" w:rsidRDefault="00000000">
            <w:pPr>
              <w:spacing w:before="120"/>
              <w:jc w:val="center"/>
              <w:rPr>
                <w:rFonts w:hint="eastAsia"/>
                <w:sz w:val="22"/>
              </w:rPr>
            </w:pPr>
            <w:r>
              <w:rPr>
                <w:rFonts w:hint="eastAsia"/>
                <w:sz w:val="22"/>
              </w:rPr>
              <w:t>教育和文化</w:t>
            </w:r>
          </w:p>
        </w:tc>
        <w:tc>
          <w:tcPr>
            <w:tcW w:w="1826" w:type="dxa"/>
          </w:tcPr>
          <w:p w:rsidR="00000000" w:rsidRDefault="00000000">
            <w:pPr>
              <w:spacing w:before="120"/>
              <w:jc w:val="center"/>
              <w:rPr>
                <w:rFonts w:hint="eastAsia"/>
                <w:sz w:val="22"/>
              </w:rPr>
            </w:pPr>
            <w:r>
              <w:rPr>
                <w:rFonts w:hint="eastAsia"/>
                <w:sz w:val="22"/>
              </w:rPr>
              <w:t>初等教育</w:t>
            </w:r>
          </w:p>
        </w:tc>
        <w:tc>
          <w:tcPr>
            <w:tcW w:w="1080" w:type="dxa"/>
          </w:tcPr>
          <w:p w:rsidR="00000000" w:rsidRDefault="00000000">
            <w:pPr>
              <w:spacing w:before="120"/>
              <w:jc w:val="center"/>
              <w:rPr>
                <w:rFonts w:hint="eastAsia"/>
                <w:sz w:val="22"/>
              </w:rPr>
            </w:pPr>
            <w:r>
              <w:rPr>
                <w:rFonts w:hint="eastAsia"/>
                <w:sz w:val="22"/>
              </w:rPr>
              <w:t>百分比</w:t>
            </w:r>
          </w:p>
        </w:tc>
        <w:tc>
          <w:tcPr>
            <w:tcW w:w="2040" w:type="dxa"/>
          </w:tcPr>
          <w:p w:rsidR="00000000" w:rsidRDefault="00000000">
            <w:pPr>
              <w:spacing w:before="120"/>
              <w:jc w:val="center"/>
              <w:rPr>
                <w:rFonts w:hint="eastAsia"/>
                <w:sz w:val="22"/>
              </w:rPr>
            </w:pPr>
            <w:r>
              <w:rPr>
                <w:rFonts w:hint="eastAsia"/>
                <w:sz w:val="22"/>
              </w:rPr>
              <w:t>中等教育</w:t>
            </w:r>
          </w:p>
        </w:tc>
        <w:tc>
          <w:tcPr>
            <w:tcW w:w="1063" w:type="dxa"/>
          </w:tcPr>
          <w:p w:rsidR="00000000" w:rsidRDefault="00000000">
            <w:pPr>
              <w:spacing w:before="120"/>
              <w:jc w:val="center"/>
              <w:rPr>
                <w:rFonts w:hint="eastAsia"/>
                <w:sz w:val="22"/>
              </w:rPr>
            </w:pPr>
            <w:r>
              <w:rPr>
                <w:rFonts w:hint="eastAsia"/>
                <w:sz w:val="22"/>
              </w:rPr>
              <w:t>比重</w:t>
            </w:r>
            <w:r>
              <w:rPr>
                <w:rFonts w:hint="eastAsia"/>
                <w:sz w:val="22"/>
              </w:rPr>
              <w:t>(5)</w:t>
            </w:r>
          </w:p>
        </w:tc>
      </w:tr>
      <w:tr w:rsidR="00000000">
        <w:tblPrEx>
          <w:tblCellMar>
            <w:top w:w="0" w:type="dxa"/>
            <w:bottom w:w="0" w:type="dxa"/>
          </w:tblCellMar>
        </w:tblPrEx>
        <w:tc>
          <w:tcPr>
            <w:tcW w:w="1469" w:type="dxa"/>
          </w:tcPr>
          <w:p w:rsidR="00000000" w:rsidRDefault="00000000">
            <w:pPr>
              <w:spacing w:before="120"/>
              <w:jc w:val="center"/>
              <w:rPr>
                <w:rFonts w:hint="eastAsia"/>
                <w:sz w:val="22"/>
              </w:rPr>
            </w:pPr>
            <w:r>
              <w:rPr>
                <w:rFonts w:hint="eastAsia"/>
                <w:sz w:val="22"/>
              </w:rPr>
              <w:t>1990</w:t>
            </w:r>
          </w:p>
        </w:tc>
        <w:tc>
          <w:tcPr>
            <w:tcW w:w="2093" w:type="dxa"/>
          </w:tcPr>
          <w:p w:rsidR="00000000" w:rsidRDefault="00000000">
            <w:pPr>
              <w:spacing w:before="120"/>
              <w:ind w:right="567"/>
              <w:jc w:val="right"/>
              <w:rPr>
                <w:rFonts w:hint="eastAsia"/>
                <w:sz w:val="22"/>
              </w:rPr>
            </w:pPr>
            <w:r>
              <w:rPr>
                <w:rFonts w:hint="eastAsia"/>
                <w:sz w:val="22"/>
              </w:rPr>
              <w:t>20,112</w:t>
            </w:r>
          </w:p>
        </w:tc>
        <w:tc>
          <w:tcPr>
            <w:tcW w:w="1826" w:type="dxa"/>
          </w:tcPr>
          <w:p w:rsidR="00000000" w:rsidRDefault="00000000">
            <w:pPr>
              <w:spacing w:before="120"/>
              <w:ind w:right="284"/>
              <w:jc w:val="right"/>
              <w:rPr>
                <w:rFonts w:hint="eastAsia"/>
                <w:sz w:val="22"/>
              </w:rPr>
            </w:pPr>
            <w:r>
              <w:rPr>
                <w:sz w:val="22"/>
              </w:rPr>
              <w:t>7,</w:t>
            </w:r>
            <w:r>
              <w:rPr>
                <w:rFonts w:hint="eastAsia"/>
                <w:sz w:val="22"/>
              </w:rPr>
              <w:t>360*</w:t>
            </w:r>
          </w:p>
        </w:tc>
        <w:tc>
          <w:tcPr>
            <w:tcW w:w="1080" w:type="dxa"/>
          </w:tcPr>
          <w:p w:rsidR="00000000" w:rsidRDefault="00000000">
            <w:pPr>
              <w:spacing w:before="120"/>
              <w:jc w:val="center"/>
              <w:rPr>
                <w:rFonts w:hint="eastAsia"/>
                <w:sz w:val="22"/>
              </w:rPr>
            </w:pPr>
            <w:r>
              <w:rPr>
                <w:rFonts w:hint="eastAsia"/>
                <w:sz w:val="22"/>
              </w:rPr>
              <w:t>36.6</w:t>
            </w:r>
          </w:p>
        </w:tc>
        <w:tc>
          <w:tcPr>
            <w:tcW w:w="2040" w:type="dxa"/>
          </w:tcPr>
          <w:p w:rsidR="00000000" w:rsidRDefault="00000000">
            <w:pPr>
              <w:spacing w:before="120"/>
              <w:ind w:right="454"/>
              <w:jc w:val="right"/>
              <w:rPr>
                <w:rFonts w:hint="eastAsia"/>
                <w:sz w:val="22"/>
              </w:rPr>
            </w:pPr>
            <w:r>
              <w:rPr>
                <w:rFonts w:hint="eastAsia"/>
                <w:sz w:val="22"/>
              </w:rPr>
              <w:t>3,459*</w:t>
            </w:r>
          </w:p>
        </w:tc>
        <w:tc>
          <w:tcPr>
            <w:tcW w:w="1063" w:type="dxa"/>
          </w:tcPr>
          <w:p w:rsidR="00000000" w:rsidRDefault="00000000">
            <w:pPr>
              <w:spacing w:before="120"/>
              <w:jc w:val="center"/>
              <w:rPr>
                <w:rFonts w:hint="eastAsia"/>
                <w:sz w:val="22"/>
              </w:rPr>
            </w:pPr>
            <w:r>
              <w:rPr>
                <w:rFonts w:hint="eastAsia"/>
                <w:sz w:val="22"/>
              </w:rPr>
              <w:t>17.2</w:t>
            </w:r>
          </w:p>
        </w:tc>
      </w:tr>
      <w:tr w:rsidR="00000000">
        <w:tblPrEx>
          <w:tblCellMar>
            <w:top w:w="0" w:type="dxa"/>
            <w:bottom w:w="0" w:type="dxa"/>
          </w:tblCellMar>
        </w:tblPrEx>
        <w:tc>
          <w:tcPr>
            <w:tcW w:w="1469" w:type="dxa"/>
          </w:tcPr>
          <w:p w:rsidR="00000000" w:rsidRDefault="00000000">
            <w:pPr>
              <w:spacing w:before="120"/>
              <w:jc w:val="center"/>
              <w:rPr>
                <w:rFonts w:hint="eastAsia"/>
                <w:sz w:val="22"/>
              </w:rPr>
            </w:pPr>
            <w:r>
              <w:rPr>
                <w:rFonts w:hint="eastAsia"/>
                <w:sz w:val="22"/>
              </w:rPr>
              <w:t>1991</w:t>
            </w:r>
          </w:p>
        </w:tc>
        <w:tc>
          <w:tcPr>
            <w:tcW w:w="2093" w:type="dxa"/>
          </w:tcPr>
          <w:p w:rsidR="00000000" w:rsidRDefault="00000000">
            <w:pPr>
              <w:spacing w:before="120"/>
              <w:ind w:right="567"/>
              <w:jc w:val="right"/>
              <w:rPr>
                <w:rFonts w:hint="eastAsia"/>
                <w:sz w:val="22"/>
              </w:rPr>
            </w:pPr>
            <w:r>
              <w:rPr>
                <w:rFonts w:hint="eastAsia"/>
                <w:sz w:val="22"/>
              </w:rPr>
              <w:t>24,272</w:t>
            </w:r>
          </w:p>
        </w:tc>
        <w:tc>
          <w:tcPr>
            <w:tcW w:w="1826" w:type="dxa"/>
          </w:tcPr>
          <w:p w:rsidR="00000000" w:rsidRDefault="00000000">
            <w:pPr>
              <w:spacing w:before="120"/>
              <w:ind w:right="397"/>
              <w:jc w:val="right"/>
              <w:rPr>
                <w:rFonts w:hint="eastAsia"/>
                <w:sz w:val="22"/>
              </w:rPr>
            </w:pPr>
            <w:r>
              <w:rPr>
                <w:rFonts w:hint="eastAsia"/>
                <w:sz w:val="22"/>
              </w:rPr>
              <w:t>8,886</w:t>
            </w:r>
          </w:p>
        </w:tc>
        <w:tc>
          <w:tcPr>
            <w:tcW w:w="1080" w:type="dxa"/>
          </w:tcPr>
          <w:p w:rsidR="00000000" w:rsidRDefault="00000000">
            <w:pPr>
              <w:spacing w:before="120"/>
              <w:jc w:val="center"/>
              <w:rPr>
                <w:rFonts w:hint="eastAsia"/>
                <w:sz w:val="22"/>
              </w:rPr>
            </w:pPr>
            <w:r>
              <w:rPr>
                <w:rFonts w:hint="eastAsia"/>
                <w:sz w:val="22"/>
              </w:rPr>
              <w:t>36.6</w:t>
            </w:r>
          </w:p>
        </w:tc>
        <w:tc>
          <w:tcPr>
            <w:tcW w:w="2040" w:type="dxa"/>
          </w:tcPr>
          <w:p w:rsidR="00000000" w:rsidRDefault="00000000">
            <w:pPr>
              <w:spacing w:before="120"/>
              <w:ind w:right="567"/>
              <w:jc w:val="right"/>
              <w:rPr>
                <w:rFonts w:hint="eastAsia"/>
                <w:sz w:val="22"/>
              </w:rPr>
            </w:pPr>
            <w:r>
              <w:rPr>
                <w:rFonts w:hint="eastAsia"/>
                <w:sz w:val="22"/>
              </w:rPr>
              <w:t>4,190</w:t>
            </w:r>
          </w:p>
        </w:tc>
        <w:tc>
          <w:tcPr>
            <w:tcW w:w="1063" w:type="dxa"/>
          </w:tcPr>
          <w:p w:rsidR="00000000" w:rsidRDefault="00000000">
            <w:pPr>
              <w:spacing w:before="120"/>
              <w:jc w:val="center"/>
              <w:rPr>
                <w:rFonts w:hint="eastAsia"/>
                <w:sz w:val="22"/>
              </w:rPr>
            </w:pPr>
            <w:r>
              <w:rPr>
                <w:rFonts w:hint="eastAsia"/>
                <w:sz w:val="22"/>
              </w:rPr>
              <w:t>17.3</w:t>
            </w:r>
          </w:p>
        </w:tc>
      </w:tr>
      <w:tr w:rsidR="00000000">
        <w:tblPrEx>
          <w:tblCellMar>
            <w:top w:w="0" w:type="dxa"/>
            <w:bottom w:w="0" w:type="dxa"/>
          </w:tblCellMar>
        </w:tblPrEx>
        <w:tc>
          <w:tcPr>
            <w:tcW w:w="1469" w:type="dxa"/>
          </w:tcPr>
          <w:p w:rsidR="00000000" w:rsidRDefault="00000000">
            <w:pPr>
              <w:spacing w:before="120"/>
              <w:jc w:val="center"/>
              <w:rPr>
                <w:rFonts w:hint="eastAsia"/>
                <w:sz w:val="22"/>
              </w:rPr>
            </w:pPr>
            <w:r>
              <w:rPr>
                <w:rFonts w:hint="eastAsia"/>
                <w:sz w:val="22"/>
              </w:rPr>
              <w:t>1992</w:t>
            </w:r>
          </w:p>
        </w:tc>
        <w:tc>
          <w:tcPr>
            <w:tcW w:w="2093" w:type="dxa"/>
          </w:tcPr>
          <w:p w:rsidR="00000000" w:rsidRDefault="00000000">
            <w:pPr>
              <w:spacing w:before="120"/>
              <w:ind w:right="567"/>
              <w:jc w:val="right"/>
              <w:rPr>
                <w:rFonts w:hint="eastAsia"/>
                <w:sz w:val="22"/>
              </w:rPr>
            </w:pPr>
            <w:r>
              <w:rPr>
                <w:rFonts w:hint="eastAsia"/>
                <w:sz w:val="22"/>
              </w:rPr>
              <w:t>104,980</w:t>
            </w:r>
          </w:p>
        </w:tc>
        <w:tc>
          <w:tcPr>
            <w:tcW w:w="1826" w:type="dxa"/>
          </w:tcPr>
          <w:p w:rsidR="00000000" w:rsidRDefault="00000000">
            <w:pPr>
              <w:spacing w:before="120"/>
              <w:ind w:right="397"/>
              <w:jc w:val="right"/>
              <w:rPr>
                <w:rFonts w:hint="eastAsia"/>
                <w:sz w:val="22"/>
              </w:rPr>
            </w:pPr>
            <w:r>
              <w:rPr>
                <w:rFonts w:hint="eastAsia"/>
                <w:sz w:val="22"/>
              </w:rPr>
              <w:t>38,754</w:t>
            </w:r>
          </w:p>
        </w:tc>
        <w:tc>
          <w:tcPr>
            <w:tcW w:w="1080" w:type="dxa"/>
          </w:tcPr>
          <w:p w:rsidR="00000000" w:rsidRDefault="00000000">
            <w:pPr>
              <w:spacing w:before="120"/>
              <w:jc w:val="center"/>
              <w:rPr>
                <w:rFonts w:hint="eastAsia"/>
                <w:sz w:val="22"/>
              </w:rPr>
            </w:pPr>
            <w:r>
              <w:rPr>
                <w:rFonts w:hint="eastAsia"/>
                <w:sz w:val="22"/>
              </w:rPr>
              <w:t>36.9</w:t>
            </w:r>
          </w:p>
        </w:tc>
        <w:tc>
          <w:tcPr>
            <w:tcW w:w="2040" w:type="dxa"/>
          </w:tcPr>
          <w:p w:rsidR="00000000" w:rsidRDefault="00000000">
            <w:pPr>
              <w:spacing w:before="120"/>
              <w:ind w:right="567"/>
              <w:jc w:val="right"/>
              <w:rPr>
                <w:rFonts w:hint="eastAsia"/>
                <w:sz w:val="22"/>
              </w:rPr>
            </w:pPr>
            <w:r>
              <w:rPr>
                <w:rFonts w:hint="eastAsia"/>
                <w:sz w:val="22"/>
              </w:rPr>
              <w:t>17,897</w:t>
            </w:r>
          </w:p>
        </w:tc>
        <w:tc>
          <w:tcPr>
            <w:tcW w:w="1063" w:type="dxa"/>
          </w:tcPr>
          <w:p w:rsidR="00000000" w:rsidRDefault="00000000">
            <w:pPr>
              <w:spacing w:before="120"/>
              <w:jc w:val="center"/>
              <w:rPr>
                <w:rFonts w:hint="eastAsia"/>
                <w:sz w:val="22"/>
              </w:rPr>
            </w:pPr>
            <w:r>
              <w:rPr>
                <w:rFonts w:hint="eastAsia"/>
                <w:sz w:val="22"/>
              </w:rPr>
              <w:t>17.0</w:t>
            </w:r>
          </w:p>
        </w:tc>
      </w:tr>
      <w:tr w:rsidR="00000000">
        <w:tblPrEx>
          <w:tblCellMar>
            <w:top w:w="0" w:type="dxa"/>
            <w:bottom w:w="0" w:type="dxa"/>
          </w:tblCellMar>
        </w:tblPrEx>
        <w:tc>
          <w:tcPr>
            <w:tcW w:w="1469" w:type="dxa"/>
          </w:tcPr>
          <w:p w:rsidR="00000000" w:rsidRDefault="00000000">
            <w:pPr>
              <w:spacing w:before="120"/>
              <w:jc w:val="center"/>
              <w:rPr>
                <w:rFonts w:hint="eastAsia"/>
                <w:sz w:val="22"/>
              </w:rPr>
            </w:pPr>
            <w:r>
              <w:rPr>
                <w:rFonts w:hint="eastAsia"/>
                <w:sz w:val="22"/>
              </w:rPr>
              <w:t>1993</w:t>
            </w:r>
          </w:p>
        </w:tc>
        <w:tc>
          <w:tcPr>
            <w:tcW w:w="2093" w:type="dxa"/>
          </w:tcPr>
          <w:p w:rsidR="00000000" w:rsidRDefault="00000000">
            <w:pPr>
              <w:spacing w:before="120"/>
              <w:ind w:right="567"/>
              <w:jc w:val="right"/>
              <w:rPr>
                <w:rFonts w:hint="eastAsia"/>
                <w:sz w:val="22"/>
              </w:rPr>
            </w:pPr>
            <w:r>
              <w:rPr>
                <w:rFonts w:hint="eastAsia"/>
                <w:sz w:val="22"/>
              </w:rPr>
              <w:t>1,745,817</w:t>
            </w:r>
          </w:p>
        </w:tc>
        <w:tc>
          <w:tcPr>
            <w:tcW w:w="1826" w:type="dxa"/>
          </w:tcPr>
          <w:p w:rsidR="00000000" w:rsidRDefault="00000000">
            <w:pPr>
              <w:spacing w:before="120"/>
              <w:ind w:right="284"/>
              <w:jc w:val="right"/>
              <w:rPr>
                <w:rFonts w:hint="eastAsia"/>
                <w:sz w:val="22"/>
              </w:rPr>
            </w:pPr>
            <w:r>
              <w:rPr>
                <w:rFonts w:hint="eastAsia"/>
                <w:sz w:val="22"/>
              </w:rPr>
              <w:t>488,534*</w:t>
            </w:r>
          </w:p>
        </w:tc>
        <w:tc>
          <w:tcPr>
            <w:tcW w:w="1080" w:type="dxa"/>
          </w:tcPr>
          <w:p w:rsidR="00000000" w:rsidRDefault="00000000">
            <w:pPr>
              <w:spacing w:before="120"/>
              <w:jc w:val="center"/>
              <w:rPr>
                <w:rFonts w:hint="eastAsia"/>
                <w:sz w:val="22"/>
              </w:rPr>
            </w:pPr>
            <w:r>
              <w:rPr>
                <w:rFonts w:hint="eastAsia"/>
                <w:sz w:val="22"/>
              </w:rPr>
              <w:t>28.0</w:t>
            </w:r>
          </w:p>
        </w:tc>
        <w:tc>
          <w:tcPr>
            <w:tcW w:w="2040" w:type="dxa"/>
          </w:tcPr>
          <w:p w:rsidR="00000000" w:rsidRDefault="00000000">
            <w:pPr>
              <w:spacing w:before="120"/>
              <w:ind w:right="284"/>
              <w:jc w:val="right"/>
              <w:rPr>
                <w:rFonts w:hint="eastAsia"/>
                <w:sz w:val="22"/>
              </w:rPr>
            </w:pPr>
            <w:r>
              <w:rPr>
                <w:rFonts w:hint="eastAsia"/>
                <w:sz w:val="22"/>
              </w:rPr>
              <w:t>250,958**</w:t>
            </w:r>
          </w:p>
        </w:tc>
        <w:tc>
          <w:tcPr>
            <w:tcW w:w="1063" w:type="dxa"/>
          </w:tcPr>
          <w:p w:rsidR="00000000" w:rsidRDefault="00000000">
            <w:pPr>
              <w:spacing w:before="120"/>
              <w:jc w:val="center"/>
              <w:rPr>
                <w:rFonts w:hint="eastAsia"/>
                <w:sz w:val="22"/>
              </w:rPr>
            </w:pPr>
            <w:r>
              <w:rPr>
                <w:rFonts w:hint="eastAsia"/>
                <w:sz w:val="22"/>
              </w:rPr>
              <w:t>14.4</w:t>
            </w:r>
          </w:p>
        </w:tc>
      </w:tr>
      <w:tr w:rsidR="00000000">
        <w:tblPrEx>
          <w:tblCellMar>
            <w:top w:w="0" w:type="dxa"/>
            <w:bottom w:w="0" w:type="dxa"/>
          </w:tblCellMar>
        </w:tblPrEx>
        <w:tc>
          <w:tcPr>
            <w:tcW w:w="1469" w:type="dxa"/>
          </w:tcPr>
          <w:p w:rsidR="00000000" w:rsidRDefault="00000000">
            <w:pPr>
              <w:spacing w:before="120"/>
              <w:jc w:val="center"/>
              <w:rPr>
                <w:rFonts w:hint="eastAsia"/>
                <w:sz w:val="22"/>
              </w:rPr>
            </w:pPr>
            <w:r>
              <w:rPr>
                <w:rFonts w:hint="eastAsia"/>
                <w:sz w:val="22"/>
              </w:rPr>
              <w:t>1994</w:t>
            </w:r>
          </w:p>
        </w:tc>
        <w:tc>
          <w:tcPr>
            <w:tcW w:w="2093" w:type="dxa"/>
          </w:tcPr>
          <w:p w:rsidR="00000000" w:rsidRDefault="00000000">
            <w:pPr>
              <w:spacing w:before="120"/>
              <w:ind w:right="567"/>
              <w:jc w:val="right"/>
              <w:rPr>
                <w:rFonts w:hint="eastAsia"/>
                <w:sz w:val="22"/>
              </w:rPr>
            </w:pPr>
            <w:r>
              <w:rPr>
                <w:rFonts w:hint="eastAsia"/>
                <w:sz w:val="22"/>
              </w:rPr>
              <w:t>4,245,828</w:t>
            </w:r>
          </w:p>
        </w:tc>
        <w:tc>
          <w:tcPr>
            <w:tcW w:w="1826" w:type="dxa"/>
          </w:tcPr>
          <w:p w:rsidR="00000000" w:rsidRDefault="00000000">
            <w:pPr>
              <w:spacing w:before="120"/>
              <w:ind w:right="397"/>
              <w:jc w:val="right"/>
              <w:rPr>
                <w:rFonts w:hint="eastAsia"/>
                <w:sz w:val="22"/>
              </w:rPr>
            </w:pPr>
            <w:r>
              <w:rPr>
                <w:rFonts w:hint="eastAsia"/>
                <w:sz w:val="22"/>
              </w:rPr>
              <w:t>1,420,175</w:t>
            </w:r>
          </w:p>
        </w:tc>
        <w:tc>
          <w:tcPr>
            <w:tcW w:w="1080" w:type="dxa"/>
          </w:tcPr>
          <w:p w:rsidR="00000000" w:rsidRDefault="00000000">
            <w:pPr>
              <w:spacing w:before="120"/>
              <w:jc w:val="center"/>
              <w:rPr>
                <w:rFonts w:hint="eastAsia"/>
                <w:sz w:val="22"/>
              </w:rPr>
            </w:pPr>
            <w:r>
              <w:rPr>
                <w:rFonts w:hint="eastAsia"/>
                <w:sz w:val="22"/>
              </w:rPr>
              <w:t>33.5</w:t>
            </w:r>
          </w:p>
        </w:tc>
        <w:tc>
          <w:tcPr>
            <w:tcW w:w="2040" w:type="dxa"/>
          </w:tcPr>
          <w:p w:rsidR="00000000" w:rsidRDefault="00000000">
            <w:pPr>
              <w:spacing w:before="120"/>
              <w:ind w:right="567"/>
              <w:jc w:val="right"/>
              <w:rPr>
                <w:rFonts w:hint="eastAsia"/>
                <w:sz w:val="22"/>
              </w:rPr>
            </w:pPr>
            <w:r>
              <w:rPr>
                <w:rFonts w:hint="eastAsia"/>
                <w:sz w:val="22"/>
              </w:rPr>
              <w:t>751,833</w:t>
            </w:r>
          </w:p>
        </w:tc>
        <w:tc>
          <w:tcPr>
            <w:tcW w:w="1063" w:type="dxa"/>
          </w:tcPr>
          <w:p w:rsidR="00000000" w:rsidRDefault="00000000">
            <w:pPr>
              <w:spacing w:before="120"/>
              <w:jc w:val="center"/>
              <w:rPr>
                <w:rFonts w:hint="eastAsia"/>
                <w:sz w:val="22"/>
              </w:rPr>
            </w:pPr>
            <w:r>
              <w:rPr>
                <w:rFonts w:hint="eastAsia"/>
                <w:sz w:val="22"/>
              </w:rPr>
              <w:t>17.7</w:t>
            </w:r>
          </w:p>
        </w:tc>
      </w:tr>
      <w:tr w:rsidR="00000000">
        <w:tblPrEx>
          <w:tblCellMar>
            <w:top w:w="0" w:type="dxa"/>
            <w:bottom w:w="0" w:type="dxa"/>
          </w:tblCellMar>
        </w:tblPrEx>
        <w:tc>
          <w:tcPr>
            <w:tcW w:w="1469" w:type="dxa"/>
          </w:tcPr>
          <w:p w:rsidR="00000000" w:rsidRDefault="00000000">
            <w:pPr>
              <w:spacing w:before="120"/>
              <w:jc w:val="center"/>
              <w:rPr>
                <w:rFonts w:hint="eastAsia"/>
                <w:sz w:val="22"/>
              </w:rPr>
            </w:pPr>
            <w:r>
              <w:rPr>
                <w:rFonts w:hint="eastAsia"/>
                <w:sz w:val="22"/>
              </w:rPr>
              <w:t>1995</w:t>
            </w:r>
          </w:p>
        </w:tc>
        <w:tc>
          <w:tcPr>
            <w:tcW w:w="2093" w:type="dxa"/>
          </w:tcPr>
          <w:p w:rsidR="00000000" w:rsidRDefault="00000000">
            <w:pPr>
              <w:spacing w:before="120"/>
              <w:ind w:right="567"/>
              <w:jc w:val="right"/>
              <w:rPr>
                <w:rFonts w:hint="eastAsia"/>
                <w:sz w:val="22"/>
              </w:rPr>
            </w:pPr>
            <w:r>
              <w:rPr>
                <w:rFonts w:hint="eastAsia"/>
                <w:sz w:val="22"/>
              </w:rPr>
              <w:t>4,971,864</w:t>
            </w:r>
          </w:p>
        </w:tc>
        <w:tc>
          <w:tcPr>
            <w:tcW w:w="1826" w:type="dxa"/>
          </w:tcPr>
          <w:p w:rsidR="00000000" w:rsidRDefault="00000000">
            <w:pPr>
              <w:spacing w:before="120"/>
              <w:ind w:right="397"/>
              <w:jc w:val="right"/>
              <w:rPr>
                <w:rFonts w:hint="eastAsia"/>
                <w:sz w:val="22"/>
              </w:rPr>
            </w:pPr>
            <w:r>
              <w:rPr>
                <w:rFonts w:hint="eastAsia"/>
                <w:sz w:val="22"/>
              </w:rPr>
              <w:t>1,664,064</w:t>
            </w:r>
          </w:p>
        </w:tc>
        <w:tc>
          <w:tcPr>
            <w:tcW w:w="1080" w:type="dxa"/>
          </w:tcPr>
          <w:p w:rsidR="00000000" w:rsidRDefault="00000000">
            <w:pPr>
              <w:spacing w:before="120"/>
              <w:jc w:val="center"/>
              <w:rPr>
                <w:rFonts w:hint="eastAsia"/>
                <w:sz w:val="22"/>
              </w:rPr>
            </w:pPr>
            <w:r>
              <w:rPr>
                <w:rFonts w:hint="eastAsia"/>
                <w:sz w:val="22"/>
              </w:rPr>
              <w:t>33.5</w:t>
            </w:r>
          </w:p>
        </w:tc>
        <w:tc>
          <w:tcPr>
            <w:tcW w:w="2040" w:type="dxa"/>
          </w:tcPr>
          <w:p w:rsidR="00000000" w:rsidRDefault="00000000">
            <w:pPr>
              <w:spacing w:before="120"/>
              <w:ind w:right="567"/>
              <w:jc w:val="right"/>
              <w:rPr>
                <w:rFonts w:hint="eastAsia"/>
                <w:sz w:val="22"/>
              </w:rPr>
            </w:pPr>
            <w:r>
              <w:rPr>
                <w:rFonts w:hint="eastAsia"/>
                <w:sz w:val="22"/>
              </w:rPr>
              <w:t>849,358</w:t>
            </w:r>
          </w:p>
        </w:tc>
        <w:tc>
          <w:tcPr>
            <w:tcW w:w="1063" w:type="dxa"/>
          </w:tcPr>
          <w:p w:rsidR="00000000" w:rsidRDefault="00000000">
            <w:pPr>
              <w:spacing w:before="120"/>
              <w:jc w:val="center"/>
              <w:rPr>
                <w:rFonts w:hint="eastAsia"/>
                <w:sz w:val="22"/>
              </w:rPr>
            </w:pPr>
            <w:r>
              <w:rPr>
                <w:rFonts w:hint="eastAsia"/>
                <w:sz w:val="22"/>
              </w:rPr>
              <w:t>17.1</w:t>
            </w:r>
          </w:p>
        </w:tc>
      </w:tr>
    </w:tbl>
    <w:p w:rsidR="00000000" w:rsidRDefault="00000000">
      <w:pPr>
        <w:pStyle w:val="a5"/>
        <w:ind w:left="510"/>
        <w:rPr>
          <w:rFonts w:eastAsia="KaiTi_GB2312" w:hint="eastAsia"/>
          <w:snapToGrid/>
          <w:spacing w:val="0"/>
          <w:sz w:val="22"/>
        </w:rPr>
      </w:pPr>
      <w:r>
        <w:rPr>
          <w:rFonts w:eastAsia="KaiTi_GB2312" w:hint="eastAsia"/>
          <w:snapToGrid/>
          <w:spacing w:val="0"/>
          <w:sz w:val="22"/>
        </w:rPr>
        <w:t>*</w:t>
      </w:r>
      <w:r>
        <w:rPr>
          <w:rFonts w:eastAsia="KaiTi_GB2312" w:hint="eastAsia"/>
          <w:snapToGrid/>
          <w:spacing w:val="0"/>
          <w:sz w:val="22"/>
        </w:rPr>
        <w:tab/>
      </w:r>
      <w:r>
        <w:rPr>
          <w:rFonts w:eastAsia="KaiTi_GB2312" w:hint="eastAsia"/>
          <w:snapToGrid/>
          <w:spacing w:val="0"/>
          <w:sz w:val="22"/>
        </w:rPr>
        <w:t>由于</w:t>
      </w:r>
      <w:r>
        <w:rPr>
          <w:rFonts w:eastAsia="KaiTi_GB2312" w:hint="eastAsia"/>
          <w:snapToGrid/>
          <w:spacing w:val="0"/>
          <w:sz w:val="22"/>
        </w:rPr>
        <w:t>1990</w:t>
      </w:r>
      <w:r>
        <w:rPr>
          <w:rFonts w:eastAsia="KaiTi_GB2312" w:hint="eastAsia"/>
          <w:snapToGrid/>
          <w:spacing w:val="0"/>
          <w:sz w:val="22"/>
        </w:rPr>
        <w:t>年教育融资系统的急剧变化，因此这一年的中小学支出统计数据为估计数。</w:t>
      </w:r>
    </w:p>
    <w:p w:rsidR="00000000" w:rsidRDefault="00000000">
      <w:pPr>
        <w:pStyle w:val="a5"/>
        <w:spacing w:after="320"/>
        <w:ind w:left="510"/>
        <w:rPr>
          <w:rFonts w:eastAsia="KaiTi_GB2312" w:hint="eastAsia"/>
          <w:snapToGrid/>
          <w:spacing w:val="0"/>
          <w:sz w:val="22"/>
        </w:rPr>
      </w:pPr>
      <w:r>
        <w:rPr>
          <w:rFonts w:eastAsia="KaiTi_GB2312" w:hint="eastAsia"/>
          <w:snapToGrid/>
          <w:spacing w:val="0"/>
          <w:sz w:val="22"/>
        </w:rPr>
        <w:t>**</w:t>
      </w:r>
      <w:r>
        <w:rPr>
          <w:rFonts w:eastAsia="KaiTi_GB2312" w:hint="eastAsia"/>
          <w:snapToGrid/>
          <w:spacing w:val="0"/>
          <w:sz w:val="22"/>
        </w:rPr>
        <w:tab/>
        <w:t>1993</w:t>
      </w:r>
      <w:r>
        <w:rPr>
          <w:rFonts w:eastAsia="KaiTi_GB2312" w:hint="eastAsia"/>
          <w:snapToGrid/>
          <w:spacing w:val="0"/>
          <w:sz w:val="22"/>
        </w:rPr>
        <w:t>年支出的数据不可靠，因为汇率变化幅度很大</w:t>
      </w:r>
      <w:r>
        <w:rPr>
          <w:rFonts w:eastAsia="KaiTi_GB2312" w:hint="eastAsia"/>
          <w:snapToGrid/>
          <w:spacing w:val="0"/>
          <w:sz w:val="22"/>
        </w:rPr>
        <w:t>(</w:t>
      </w:r>
      <w:r>
        <w:rPr>
          <w:rFonts w:eastAsia="KaiTi_GB2312" w:hint="eastAsia"/>
          <w:snapToGrid/>
          <w:spacing w:val="0"/>
          <w:sz w:val="22"/>
        </w:rPr>
        <w:t>通货膨胀、新货币</w:t>
      </w:r>
      <w:r>
        <w:rPr>
          <w:rFonts w:eastAsia="KaiTi_GB2312" w:hint="eastAsia"/>
          <w:snapToGrid/>
          <w:spacing w:val="0"/>
          <w:sz w:val="22"/>
        </w:rPr>
        <w:t>)</w:t>
      </w:r>
      <w:r>
        <w:rPr>
          <w:rFonts w:eastAsia="KaiTi_GB2312" w:hint="eastAsia"/>
          <w:snapToGrid/>
          <w:spacing w:val="0"/>
          <w:sz w:val="22"/>
        </w:rPr>
        <w:t>，并由于对教育供资的责任被从地方政府和各种基金中转到了国民预算。</w:t>
      </w:r>
    </w:p>
    <w:p w:rsidR="00000000" w:rsidRDefault="00000000">
      <w:pPr>
        <w:pStyle w:val="Heading3"/>
        <w:rPr>
          <w:rFonts w:hint="eastAsia"/>
          <w:sz w:val="22"/>
        </w:rPr>
      </w:pPr>
      <w:r>
        <w:rPr>
          <w:sz w:val="22"/>
        </w:rPr>
        <w:br w:type="page"/>
      </w:r>
      <w:r>
        <w:rPr>
          <w:rFonts w:hint="eastAsia"/>
          <w:sz w:val="22"/>
        </w:rPr>
        <w:t>表：教育支出的主要项目</w:t>
      </w:r>
    </w:p>
    <w:tbl>
      <w:tblPr>
        <w:tblW w:w="0" w:type="auto"/>
        <w:tblLook w:val="0000" w:firstRow="0" w:lastRow="0" w:firstColumn="0" w:lastColumn="0" w:noHBand="0" w:noVBand="0"/>
      </w:tblPr>
      <w:tblGrid>
        <w:gridCol w:w="816"/>
        <w:gridCol w:w="262"/>
        <w:gridCol w:w="2102"/>
        <w:gridCol w:w="282"/>
        <w:gridCol w:w="2648"/>
        <w:gridCol w:w="281"/>
        <w:gridCol w:w="1540"/>
        <w:gridCol w:w="281"/>
        <w:gridCol w:w="1358"/>
      </w:tblGrid>
      <w:tr w:rsidR="00000000">
        <w:tblPrEx>
          <w:tblCellMar>
            <w:top w:w="0" w:type="dxa"/>
            <w:bottom w:w="0" w:type="dxa"/>
          </w:tblCellMar>
        </w:tblPrEx>
        <w:trPr>
          <w:cantSplit/>
        </w:trPr>
        <w:tc>
          <w:tcPr>
            <w:tcW w:w="817" w:type="dxa"/>
            <w:tcBorders>
              <w:top w:val="single" w:sz="4" w:space="0" w:color="auto"/>
              <w:left w:val="single" w:sz="4" w:space="0" w:color="auto"/>
              <w:bottom w:val="single" w:sz="4" w:space="0" w:color="auto"/>
              <w:right w:val="single" w:sz="4" w:space="0" w:color="auto"/>
            </w:tcBorders>
          </w:tcPr>
          <w:p w:rsidR="00000000" w:rsidRDefault="00000000">
            <w:pPr>
              <w:spacing w:before="180"/>
              <w:jc w:val="center"/>
              <w:rPr>
                <w:rFonts w:hint="eastAsia"/>
                <w:sz w:val="22"/>
              </w:rPr>
            </w:pPr>
            <w:r>
              <w:rPr>
                <w:rFonts w:hint="eastAsia"/>
                <w:sz w:val="22"/>
              </w:rPr>
              <w:t>年份</w:t>
            </w:r>
          </w:p>
        </w:tc>
        <w:tc>
          <w:tcPr>
            <w:tcW w:w="262" w:type="dxa"/>
            <w:tcBorders>
              <w:left w:val="single" w:sz="4" w:space="0" w:color="auto"/>
              <w:right w:val="single" w:sz="4" w:space="0" w:color="auto"/>
            </w:tcBorders>
          </w:tcPr>
          <w:p w:rsidR="00000000" w:rsidRDefault="00000000">
            <w:pPr>
              <w:jc w:val="center"/>
              <w:rPr>
                <w:sz w:val="22"/>
              </w:rPr>
            </w:pPr>
          </w:p>
        </w:tc>
        <w:tc>
          <w:tcPr>
            <w:tcW w:w="5032" w:type="dxa"/>
            <w:gridSpan w:val="3"/>
            <w:vMerge w:val="restart"/>
            <w:tcBorders>
              <w:top w:val="single" w:sz="4" w:space="0" w:color="auto"/>
              <w:left w:val="single" w:sz="4" w:space="0" w:color="auto"/>
              <w:right w:val="single" w:sz="4" w:space="0" w:color="auto"/>
            </w:tcBorders>
          </w:tcPr>
          <w:p w:rsidR="00000000" w:rsidRDefault="00000000">
            <w:pPr>
              <w:spacing w:before="200"/>
              <w:jc w:val="center"/>
              <w:rPr>
                <w:rFonts w:hint="eastAsia"/>
                <w:sz w:val="22"/>
              </w:rPr>
            </w:pPr>
            <w:r>
              <w:rPr>
                <w:rFonts w:hint="eastAsia"/>
                <w:sz w:val="22"/>
              </w:rPr>
              <w:t>资本投资</w:t>
            </w:r>
            <w:r>
              <w:rPr>
                <w:sz w:val="22"/>
              </w:rPr>
              <w:br/>
            </w:r>
            <w:r>
              <w:rPr>
                <w:rFonts w:hint="eastAsia"/>
                <w:sz w:val="22"/>
              </w:rPr>
              <w:t>价</w:t>
            </w:r>
            <w:r>
              <w:rPr>
                <w:rFonts w:hint="eastAsia"/>
                <w:sz w:val="22"/>
              </w:rPr>
              <w:t xml:space="preserve">  </w:t>
            </w:r>
            <w:r>
              <w:rPr>
                <w:rFonts w:hint="eastAsia"/>
                <w:sz w:val="22"/>
              </w:rPr>
              <w:t>值</w:t>
            </w:r>
          </w:p>
        </w:tc>
        <w:tc>
          <w:tcPr>
            <w:tcW w:w="281" w:type="dxa"/>
            <w:tcBorders>
              <w:left w:val="single" w:sz="4" w:space="0" w:color="auto"/>
              <w:right w:val="single" w:sz="4" w:space="0" w:color="auto"/>
            </w:tcBorders>
          </w:tcPr>
          <w:p w:rsidR="00000000" w:rsidRDefault="00000000">
            <w:pPr>
              <w:jc w:val="center"/>
              <w:rPr>
                <w:sz w:val="22"/>
              </w:rPr>
            </w:pP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spacing w:before="200"/>
              <w:jc w:val="center"/>
              <w:rPr>
                <w:rFonts w:hint="eastAsia"/>
                <w:sz w:val="22"/>
              </w:rPr>
            </w:pPr>
            <w:r>
              <w:rPr>
                <w:rFonts w:hint="eastAsia"/>
                <w:sz w:val="22"/>
              </w:rPr>
              <w:t>总计</w:t>
            </w:r>
          </w:p>
        </w:tc>
        <w:tc>
          <w:tcPr>
            <w:tcW w:w="281" w:type="dxa"/>
            <w:tcBorders>
              <w:left w:val="single" w:sz="4" w:space="0" w:color="auto"/>
              <w:right w:val="single" w:sz="4" w:space="0" w:color="auto"/>
            </w:tcBorders>
          </w:tcPr>
          <w:p w:rsidR="00000000" w:rsidRDefault="00000000">
            <w:pPr>
              <w:jc w:val="center"/>
              <w:rPr>
                <w:sz w:val="22"/>
              </w:rPr>
            </w:pPr>
          </w:p>
        </w:tc>
        <w:tc>
          <w:tcPr>
            <w:tcW w:w="1358" w:type="dxa"/>
            <w:tcBorders>
              <w:top w:val="single" w:sz="4" w:space="0" w:color="auto"/>
              <w:left w:val="single" w:sz="4" w:space="0" w:color="auto"/>
              <w:bottom w:val="single" w:sz="4" w:space="0" w:color="auto"/>
              <w:right w:val="single" w:sz="4" w:space="0" w:color="auto"/>
            </w:tcBorders>
          </w:tcPr>
          <w:p w:rsidR="00000000" w:rsidRDefault="00000000">
            <w:pPr>
              <w:spacing w:before="200"/>
              <w:jc w:val="center"/>
              <w:rPr>
                <w:sz w:val="22"/>
              </w:rPr>
            </w:pPr>
            <w:r>
              <w:rPr>
                <w:sz w:val="22"/>
              </w:rPr>
              <w:t>1991 = 100</w:t>
            </w:r>
          </w:p>
        </w:tc>
      </w:tr>
      <w:tr w:rsidR="00000000">
        <w:tblPrEx>
          <w:tblCellMar>
            <w:top w:w="0" w:type="dxa"/>
            <w:bottom w:w="0" w:type="dxa"/>
          </w:tblCellMar>
        </w:tblPrEx>
        <w:trPr>
          <w:cantSplit/>
        </w:trPr>
        <w:tc>
          <w:tcPr>
            <w:tcW w:w="817" w:type="dxa"/>
            <w:tcBorders>
              <w:top w:val="single" w:sz="4" w:space="0" w:color="auto"/>
              <w:bottom w:val="single" w:sz="4" w:space="0" w:color="auto"/>
            </w:tcBorders>
          </w:tcPr>
          <w:p w:rsidR="00000000" w:rsidRDefault="00000000">
            <w:pPr>
              <w:jc w:val="center"/>
              <w:rPr>
                <w:sz w:val="22"/>
              </w:rPr>
            </w:pPr>
          </w:p>
        </w:tc>
        <w:tc>
          <w:tcPr>
            <w:tcW w:w="262" w:type="dxa"/>
            <w:tcBorders>
              <w:right w:val="single" w:sz="4" w:space="0" w:color="auto"/>
            </w:tcBorders>
          </w:tcPr>
          <w:p w:rsidR="00000000" w:rsidRDefault="00000000">
            <w:pPr>
              <w:jc w:val="center"/>
              <w:rPr>
                <w:sz w:val="22"/>
              </w:rPr>
            </w:pPr>
          </w:p>
        </w:tc>
        <w:tc>
          <w:tcPr>
            <w:tcW w:w="5032" w:type="dxa"/>
            <w:gridSpan w:val="3"/>
            <w:vMerge/>
            <w:tcBorders>
              <w:left w:val="single" w:sz="4" w:space="0" w:color="auto"/>
              <w:right w:val="single" w:sz="4" w:space="0" w:color="auto"/>
            </w:tcBorders>
          </w:tcPr>
          <w:p w:rsidR="00000000" w:rsidRDefault="00000000">
            <w:pPr>
              <w:jc w:val="center"/>
              <w:rPr>
                <w:sz w:val="22"/>
              </w:rPr>
            </w:pPr>
          </w:p>
        </w:tc>
        <w:tc>
          <w:tcPr>
            <w:tcW w:w="281" w:type="dxa"/>
            <w:tcBorders>
              <w:left w:val="single" w:sz="4" w:space="0" w:color="auto"/>
            </w:tcBorders>
          </w:tcPr>
          <w:p w:rsidR="00000000" w:rsidRDefault="00000000">
            <w:pPr>
              <w:jc w:val="center"/>
              <w:rPr>
                <w:sz w:val="22"/>
              </w:rPr>
            </w:pPr>
          </w:p>
        </w:tc>
        <w:tc>
          <w:tcPr>
            <w:tcW w:w="1540" w:type="dxa"/>
            <w:tcBorders>
              <w:top w:val="single" w:sz="4" w:space="0" w:color="auto"/>
              <w:bottom w:val="single" w:sz="4" w:space="0" w:color="auto"/>
            </w:tcBorders>
          </w:tcPr>
          <w:p w:rsidR="00000000" w:rsidRDefault="00000000">
            <w:pPr>
              <w:jc w:val="center"/>
              <w:rPr>
                <w:sz w:val="22"/>
              </w:rPr>
            </w:pPr>
          </w:p>
        </w:tc>
        <w:tc>
          <w:tcPr>
            <w:tcW w:w="281" w:type="dxa"/>
          </w:tcPr>
          <w:p w:rsidR="00000000" w:rsidRDefault="00000000">
            <w:pPr>
              <w:jc w:val="center"/>
              <w:rPr>
                <w:sz w:val="22"/>
              </w:rPr>
            </w:pPr>
          </w:p>
        </w:tc>
        <w:tc>
          <w:tcPr>
            <w:tcW w:w="1358" w:type="dxa"/>
            <w:tcBorders>
              <w:top w:val="single" w:sz="4" w:space="0" w:color="auto"/>
              <w:bottom w:val="single" w:sz="4" w:space="0" w:color="auto"/>
            </w:tcBorders>
          </w:tcPr>
          <w:p w:rsidR="00000000" w:rsidRDefault="00000000">
            <w:pPr>
              <w:jc w:val="center"/>
              <w:rPr>
                <w:sz w:val="22"/>
              </w:rPr>
            </w:pPr>
          </w:p>
        </w:tc>
      </w:tr>
      <w:tr w:rsidR="00000000">
        <w:tblPrEx>
          <w:tblCellMar>
            <w:top w:w="0" w:type="dxa"/>
            <w:bottom w:w="0" w:type="dxa"/>
          </w:tblCellMar>
        </w:tblPrEx>
        <w:trPr>
          <w:cantSplit/>
        </w:trPr>
        <w:tc>
          <w:tcPr>
            <w:tcW w:w="817" w:type="dxa"/>
            <w:tcBorders>
              <w:top w:val="single" w:sz="4" w:space="0" w:color="auto"/>
              <w:left w:val="single" w:sz="4" w:space="0" w:color="auto"/>
              <w:bottom w:val="single" w:sz="4" w:space="0" w:color="auto"/>
              <w:right w:val="single" w:sz="4" w:space="0" w:color="auto"/>
            </w:tcBorders>
          </w:tcPr>
          <w:p w:rsidR="00000000" w:rsidRDefault="00000000">
            <w:pPr>
              <w:jc w:val="center"/>
              <w:rPr>
                <w:sz w:val="22"/>
              </w:rPr>
            </w:pPr>
          </w:p>
        </w:tc>
        <w:tc>
          <w:tcPr>
            <w:tcW w:w="262" w:type="dxa"/>
            <w:tcBorders>
              <w:left w:val="single" w:sz="4" w:space="0" w:color="auto"/>
              <w:right w:val="single" w:sz="4" w:space="0" w:color="auto"/>
            </w:tcBorders>
          </w:tcPr>
          <w:p w:rsidR="00000000" w:rsidRDefault="00000000">
            <w:pPr>
              <w:jc w:val="center"/>
              <w:rPr>
                <w:sz w:val="22"/>
              </w:rPr>
            </w:pPr>
          </w:p>
        </w:tc>
        <w:tc>
          <w:tcPr>
            <w:tcW w:w="2102" w:type="dxa"/>
            <w:vMerge w:val="restart"/>
            <w:tcBorders>
              <w:top w:val="single" w:sz="24" w:space="0" w:color="auto"/>
              <w:left w:val="single" w:sz="4" w:space="0" w:color="auto"/>
              <w:right w:val="single" w:sz="4" w:space="0" w:color="auto"/>
            </w:tcBorders>
          </w:tcPr>
          <w:p w:rsidR="00000000" w:rsidRDefault="00000000">
            <w:pPr>
              <w:spacing w:before="320"/>
              <w:jc w:val="center"/>
              <w:rPr>
                <w:rFonts w:hint="eastAsia"/>
                <w:sz w:val="22"/>
              </w:rPr>
            </w:pPr>
            <w:r>
              <w:rPr>
                <w:rFonts w:hint="eastAsia"/>
                <w:sz w:val="22"/>
              </w:rPr>
              <w:t>初等教育</w:t>
            </w:r>
          </w:p>
        </w:tc>
        <w:tc>
          <w:tcPr>
            <w:tcW w:w="282" w:type="dxa"/>
            <w:tcBorders>
              <w:top w:val="single" w:sz="4" w:space="0" w:color="auto"/>
              <w:left w:val="single" w:sz="4" w:space="0" w:color="auto"/>
              <w:right w:val="single" w:sz="4" w:space="0" w:color="auto"/>
            </w:tcBorders>
          </w:tcPr>
          <w:p w:rsidR="00000000" w:rsidRDefault="00000000">
            <w:pPr>
              <w:spacing w:before="320"/>
              <w:jc w:val="center"/>
              <w:rPr>
                <w:sz w:val="22"/>
              </w:rPr>
            </w:pPr>
          </w:p>
        </w:tc>
        <w:tc>
          <w:tcPr>
            <w:tcW w:w="2648" w:type="dxa"/>
            <w:vMerge w:val="restart"/>
            <w:tcBorders>
              <w:top w:val="single" w:sz="24" w:space="0" w:color="auto"/>
              <w:left w:val="single" w:sz="4" w:space="0" w:color="auto"/>
              <w:right w:val="single" w:sz="4" w:space="0" w:color="auto"/>
            </w:tcBorders>
          </w:tcPr>
          <w:p w:rsidR="00000000" w:rsidRDefault="00000000">
            <w:pPr>
              <w:spacing w:before="320"/>
              <w:jc w:val="center"/>
              <w:rPr>
                <w:rFonts w:hint="eastAsia"/>
                <w:sz w:val="22"/>
              </w:rPr>
            </w:pPr>
            <w:r>
              <w:rPr>
                <w:rFonts w:hint="eastAsia"/>
                <w:sz w:val="22"/>
              </w:rPr>
              <w:t>中等教育</w:t>
            </w:r>
          </w:p>
        </w:tc>
        <w:tc>
          <w:tcPr>
            <w:tcW w:w="281" w:type="dxa"/>
            <w:tcBorders>
              <w:left w:val="single" w:sz="4" w:space="0" w:color="auto"/>
              <w:right w:val="single" w:sz="4" w:space="0" w:color="auto"/>
            </w:tcBorders>
          </w:tcPr>
          <w:p w:rsidR="00000000" w:rsidRDefault="00000000">
            <w:pPr>
              <w:jc w:val="center"/>
              <w:rPr>
                <w:sz w:val="22"/>
              </w:rPr>
            </w:pP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jc w:val="center"/>
              <w:rPr>
                <w:sz w:val="22"/>
              </w:rPr>
            </w:pPr>
          </w:p>
        </w:tc>
        <w:tc>
          <w:tcPr>
            <w:tcW w:w="281" w:type="dxa"/>
            <w:tcBorders>
              <w:left w:val="single" w:sz="4" w:space="0" w:color="auto"/>
              <w:right w:val="single" w:sz="4" w:space="0" w:color="auto"/>
            </w:tcBorders>
          </w:tcPr>
          <w:p w:rsidR="00000000" w:rsidRDefault="00000000">
            <w:pPr>
              <w:jc w:val="center"/>
              <w:rPr>
                <w:sz w:val="22"/>
              </w:rPr>
            </w:pPr>
          </w:p>
        </w:tc>
        <w:tc>
          <w:tcPr>
            <w:tcW w:w="1358" w:type="dxa"/>
            <w:tcBorders>
              <w:top w:val="single" w:sz="4" w:space="0" w:color="auto"/>
              <w:left w:val="single" w:sz="4" w:space="0" w:color="auto"/>
              <w:bottom w:val="single" w:sz="4" w:space="0" w:color="auto"/>
              <w:right w:val="single" w:sz="4" w:space="0" w:color="auto"/>
            </w:tcBorders>
          </w:tcPr>
          <w:p w:rsidR="00000000" w:rsidRDefault="00000000">
            <w:pPr>
              <w:jc w:val="center"/>
              <w:rPr>
                <w:sz w:val="22"/>
              </w:rPr>
            </w:pPr>
          </w:p>
        </w:tc>
      </w:tr>
      <w:tr w:rsidR="00000000">
        <w:tblPrEx>
          <w:tblCellMar>
            <w:top w:w="0" w:type="dxa"/>
            <w:bottom w:w="0" w:type="dxa"/>
          </w:tblCellMar>
        </w:tblPrEx>
        <w:trPr>
          <w:cantSplit/>
        </w:trPr>
        <w:tc>
          <w:tcPr>
            <w:tcW w:w="817" w:type="dxa"/>
            <w:tcBorders>
              <w:top w:val="single" w:sz="4" w:space="0" w:color="auto"/>
              <w:bottom w:val="single" w:sz="4" w:space="0" w:color="auto"/>
            </w:tcBorders>
          </w:tcPr>
          <w:p w:rsidR="00000000" w:rsidRDefault="00000000">
            <w:pPr>
              <w:jc w:val="center"/>
              <w:rPr>
                <w:sz w:val="22"/>
              </w:rPr>
            </w:pPr>
          </w:p>
        </w:tc>
        <w:tc>
          <w:tcPr>
            <w:tcW w:w="262" w:type="dxa"/>
            <w:tcBorders>
              <w:right w:val="single" w:sz="4" w:space="0" w:color="auto"/>
            </w:tcBorders>
          </w:tcPr>
          <w:p w:rsidR="00000000" w:rsidRDefault="00000000">
            <w:pPr>
              <w:jc w:val="center"/>
              <w:rPr>
                <w:sz w:val="22"/>
              </w:rPr>
            </w:pPr>
          </w:p>
        </w:tc>
        <w:tc>
          <w:tcPr>
            <w:tcW w:w="2102" w:type="dxa"/>
            <w:vMerge/>
            <w:tcBorders>
              <w:left w:val="single" w:sz="4" w:space="0" w:color="auto"/>
              <w:bottom w:val="double" w:sz="4" w:space="0" w:color="auto"/>
              <w:right w:val="single" w:sz="4" w:space="0" w:color="auto"/>
            </w:tcBorders>
          </w:tcPr>
          <w:p w:rsidR="00000000" w:rsidRDefault="00000000">
            <w:pPr>
              <w:jc w:val="center"/>
              <w:rPr>
                <w:sz w:val="22"/>
              </w:rPr>
            </w:pPr>
          </w:p>
        </w:tc>
        <w:tc>
          <w:tcPr>
            <w:tcW w:w="282" w:type="dxa"/>
            <w:tcBorders>
              <w:left w:val="single" w:sz="4" w:space="0" w:color="auto"/>
              <w:right w:val="single" w:sz="4" w:space="0" w:color="auto"/>
            </w:tcBorders>
          </w:tcPr>
          <w:p w:rsidR="00000000" w:rsidRDefault="00000000">
            <w:pPr>
              <w:jc w:val="center"/>
              <w:rPr>
                <w:sz w:val="22"/>
              </w:rPr>
            </w:pPr>
          </w:p>
        </w:tc>
        <w:tc>
          <w:tcPr>
            <w:tcW w:w="2648" w:type="dxa"/>
            <w:vMerge/>
            <w:tcBorders>
              <w:left w:val="single" w:sz="4" w:space="0" w:color="auto"/>
              <w:bottom w:val="double" w:sz="4" w:space="0" w:color="auto"/>
              <w:right w:val="single" w:sz="4" w:space="0" w:color="auto"/>
            </w:tcBorders>
          </w:tcPr>
          <w:p w:rsidR="00000000" w:rsidRDefault="00000000">
            <w:pPr>
              <w:jc w:val="center"/>
              <w:rPr>
                <w:sz w:val="22"/>
              </w:rPr>
            </w:pPr>
          </w:p>
        </w:tc>
        <w:tc>
          <w:tcPr>
            <w:tcW w:w="281" w:type="dxa"/>
            <w:tcBorders>
              <w:left w:val="single" w:sz="4" w:space="0" w:color="auto"/>
            </w:tcBorders>
          </w:tcPr>
          <w:p w:rsidR="00000000" w:rsidRDefault="00000000">
            <w:pPr>
              <w:jc w:val="center"/>
              <w:rPr>
                <w:sz w:val="22"/>
              </w:rPr>
            </w:pPr>
          </w:p>
        </w:tc>
        <w:tc>
          <w:tcPr>
            <w:tcW w:w="1540" w:type="dxa"/>
            <w:tcBorders>
              <w:top w:val="single" w:sz="4" w:space="0" w:color="auto"/>
              <w:bottom w:val="single" w:sz="4" w:space="0" w:color="auto"/>
            </w:tcBorders>
          </w:tcPr>
          <w:p w:rsidR="00000000" w:rsidRDefault="00000000">
            <w:pPr>
              <w:jc w:val="center"/>
              <w:rPr>
                <w:sz w:val="22"/>
              </w:rPr>
            </w:pPr>
          </w:p>
        </w:tc>
        <w:tc>
          <w:tcPr>
            <w:tcW w:w="281" w:type="dxa"/>
          </w:tcPr>
          <w:p w:rsidR="00000000" w:rsidRDefault="00000000">
            <w:pPr>
              <w:jc w:val="center"/>
              <w:rPr>
                <w:sz w:val="22"/>
              </w:rPr>
            </w:pPr>
          </w:p>
        </w:tc>
        <w:tc>
          <w:tcPr>
            <w:tcW w:w="1358" w:type="dxa"/>
            <w:tcBorders>
              <w:top w:val="single" w:sz="4" w:space="0" w:color="auto"/>
              <w:bottom w:val="single" w:sz="4" w:space="0" w:color="auto"/>
            </w:tcBorders>
          </w:tcPr>
          <w:p w:rsidR="00000000" w:rsidRDefault="00000000">
            <w:pPr>
              <w:jc w:val="center"/>
              <w:rPr>
                <w:sz w:val="22"/>
              </w:rPr>
            </w:pPr>
          </w:p>
        </w:tc>
      </w:tr>
      <w:tr w:rsidR="00000000">
        <w:tblPrEx>
          <w:tblCellMar>
            <w:top w:w="0" w:type="dxa"/>
            <w:bottom w:w="0" w:type="dxa"/>
          </w:tblCellMar>
        </w:tblPrEx>
        <w:tc>
          <w:tcPr>
            <w:tcW w:w="817" w:type="dxa"/>
            <w:tcBorders>
              <w:top w:val="sing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1991</w:t>
            </w:r>
          </w:p>
        </w:tc>
        <w:tc>
          <w:tcPr>
            <w:tcW w:w="262" w:type="dxa"/>
            <w:tcBorders>
              <w:left w:val="single" w:sz="4" w:space="0" w:color="auto"/>
              <w:right w:val="single" w:sz="4" w:space="0" w:color="auto"/>
            </w:tcBorders>
          </w:tcPr>
          <w:p w:rsidR="00000000" w:rsidRDefault="00000000">
            <w:pPr>
              <w:spacing w:before="120"/>
              <w:jc w:val="center"/>
              <w:rPr>
                <w:sz w:val="22"/>
              </w:rPr>
            </w:pPr>
          </w:p>
        </w:tc>
        <w:tc>
          <w:tcPr>
            <w:tcW w:w="2102"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58,536</w:t>
            </w:r>
          </w:p>
        </w:tc>
        <w:tc>
          <w:tcPr>
            <w:tcW w:w="282" w:type="dxa"/>
            <w:tcBorders>
              <w:left w:val="single" w:sz="4" w:space="0" w:color="auto"/>
              <w:right w:val="single" w:sz="4" w:space="0" w:color="auto"/>
            </w:tcBorders>
          </w:tcPr>
          <w:p w:rsidR="00000000" w:rsidRDefault="00000000">
            <w:pPr>
              <w:spacing w:before="120"/>
              <w:jc w:val="center"/>
              <w:rPr>
                <w:sz w:val="22"/>
              </w:rPr>
            </w:pPr>
          </w:p>
        </w:tc>
        <w:tc>
          <w:tcPr>
            <w:tcW w:w="2648"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32,119</w:t>
            </w:r>
          </w:p>
        </w:tc>
        <w:tc>
          <w:tcPr>
            <w:tcW w:w="281" w:type="dxa"/>
            <w:tcBorders>
              <w:left w:val="single" w:sz="4" w:space="0" w:color="auto"/>
              <w:right w:val="single" w:sz="4" w:space="0" w:color="auto"/>
            </w:tcBorders>
          </w:tcPr>
          <w:p w:rsidR="00000000" w:rsidRDefault="00000000">
            <w:pPr>
              <w:spacing w:before="120"/>
              <w:jc w:val="center"/>
              <w:rPr>
                <w:sz w:val="22"/>
              </w:rPr>
            </w:pPr>
          </w:p>
        </w:tc>
        <w:tc>
          <w:tcPr>
            <w:tcW w:w="1540" w:type="dxa"/>
            <w:tcBorders>
              <w:top w:val="sing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92,646</w:t>
            </w:r>
          </w:p>
        </w:tc>
        <w:tc>
          <w:tcPr>
            <w:tcW w:w="281" w:type="dxa"/>
            <w:tcBorders>
              <w:left w:val="single" w:sz="4" w:space="0" w:color="auto"/>
              <w:right w:val="single" w:sz="4" w:space="0" w:color="auto"/>
            </w:tcBorders>
          </w:tcPr>
          <w:p w:rsidR="00000000" w:rsidRDefault="00000000">
            <w:pPr>
              <w:spacing w:before="120"/>
              <w:jc w:val="center"/>
              <w:rPr>
                <w:sz w:val="22"/>
              </w:rPr>
            </w:pPr>
          </w:p>
        </w:tc>
        <w:tc>
          <w:tcPr>
            <w:tcW w:w="1358" w:type="dxa"/>
            <w:tcBorders>
              <w:top w:val="sing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100</w:t>
            </w:r>
          </w:p>
        </w:tc>
      </w:tr>
      <w:tr w:rsidR="00000000">
        <w:tblPrEx>
          <w:tblCellMar>
            <w:top w:w="0" w:type="dxa"/>
            <w:bottom w:w="0" w:type="dxa"/>
          </w:tblCellMar>
        </w:tblPrEx>
        <w:tc>
          <w:tcPr>
            <w:tcW w:w="817"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1992</w:t>
            </w:r>
          </w:p>
        </w:tc>
        <w:tc>
          <w:tcPr>
            <w:tcW w:w="262" w:type="dxa"/>
            <w:tcBorders>
              <w:left w:val="single" w:sz="4" w:space="0" w:color="auto"/>
              <w:right w:val="single" w:sz="4" w:space="0" w:color="auto"/>
            </w:tcBorders>
          </w:tcPr>
          <w:p w:rsidR="00000000" w:rsidRDefault="00000000">
            <w:pPr>
              <w:spacing w:before="120"/>
              <w:jc w:val="center"/>
              <w:rPr>
                <w:sz w:val="22"/>
              </w:rPr>
            </w:pPr>
          </w:p>
        </w:tc>
        <w:tc>
          <w:tcPr>
            <w:tcW w:w="2102"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15,138</w:t>
            </w:r>
          </w:p>
        </w:tc>
        <w:tc>
          <w:tcPr>
            <w:tcW w:w="282" w:type="dxa"/>
            <w:tcBorders>
              <w:left w:val="single" w:sz="4" w:space="0" w:color="auto"/>
              <w:right w:val="single" w:sz="4" w:space="0" w:color="auto"/>
            </w:tcBorders>
          </w:tcPr>
          <w:p w:rsidR="00000000" w:rsidRDefault="00000000">
            <w:pPr>
              <w:spacing w:before="120"/>
              <w:jc w:val="center"/>
              <w:rPr>
                <w:sz w:val="22"/>
              </w:rPr>
            </w:pPr>
          </w:p>
        </w:tc>
        <w:tc>
          <w:tcPr>
            <w:tcW w:w="2648"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4,136</w:t>
            </w:r>
          </w:p>
        </w:tc>
        <w:tc>
          <w:tcPr>
            <w:tcW w:w="281" w:type="dxa"/>
            <w:tcBorders>
              <w:left w:val="single" w:sz="4" w:space="0" w:color="auto"/>
              <w:right w:val="single" w:sz="4" w:space="0" w:color="auto"/>
            </w:tcBorders>
          </w:tcPr>
          <w:p w:rsidR="00000000" w:rsidRDefault="00000000">
            <w:pPr>
              <w:spacing w:before="120"/>
              <w:jc w:val="center"/>
              <w:rPr>
                <w:sz w:val="22"/>
              </w:rPr>
            </w:pPr>
          </w:p>
        </w:tc>
        <w:tc>
          <w:tcPr>
            <w:tcW w:w="1540"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21,266</w:t>
            </w:r>
          </w:p>
        </w:tc>
        <w:tc>
          <w:tcPr>
            <w:tcW w:w="281" w:type="dxa"/>
            <w:tcBorders>
              <w:left w:val="single" w:sz="4" w:space="0" w:color="auto"/>
              <w:right w:val="single" w:sz="4" w:space="0" w:color="auto"/>
            </w:tcBorders>
          </w:tcPr>
          <w:p w:rsidR="00000000" w:rsidRDefault="00000000">
            <w:pPr>
              <w:spacing w:before="120"/>
              <w:jc w:val="center"/>
              <w:rPr>
                <w:sz w:val="22"/>
              </w:rPr>
            </w:pPr>
          </w:p>
        </w:tc>
        <w:tc>
          <w:tcPr>
            <w:tcW w:w="1358"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22</w:t>
            </w:r>
          </w:p>
        </w:tc>
      </w:tr>
      <w:tr w:rsidR="00000000">
        <w:tblPrEx>
          <w:tblCellMar>
            <w:top w:w="0" w:type="dxa"/>
            <w:bottom w:w="0" w:type="dxa"/>
          </w:tblCellMar>
        </w:tblPrEx>
        <w:tc>
          <w:tcPr>
            <w:tcW w:w="817"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1993</w:t>
            </w:r>
          </w:p>
        </w:tc>
        <w:tc>
          <w:tcPr>
            <w:tcW w:w="262" w:type="dxa"/>
            <w:tcBorders>
              <w:left w:val="single" w:sz="4" w:space="0" w:color="auto"/>
              <w:right w:val="single" w:sz="4" w:space="0" w:color="auto"/>
            </w:tcBorders>
          </w:tcPr>
          <w:p w:rsidR="00000000" w:rsidRDefault="00000000">
            <w:pPr>
              <w:spacing w:before="120"/>
              <w:jc w:val="center"/>
              <w:rPr>
                <w:sz w:val="22"/>
              </w:rPr>
            </w:pPr>
          </w:p>
        </w:tc>
        <w:tc>
          <w:tcPr>
            <w:tcW w:w="2102"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34,051</w:t>
            </w:r>
          </w:p>
        </w:tc>
        <w:tc>
          <w:tcPr>
            <w:tcW w:w="282" w:type="dxa"/>
            <w:tcBorders>
              <w:left w:val="single" w:sz="4" w:space="0" w:color="auto"/>
              <w:right w:val="single" w:sz="4" w:space="0" w:color="auto"/>
            </w:tcBorders>
          </w:tcPr>
          <w:p w:rsidR="00000000" w:rsidRDefault="00000000">
            <w:pPr>
              <w:spacing w:before="120"/>
              <w:jc w:val="center"/>
              <w:rPr>
                <w:sz w:val="22"/>
              </w:rPr>
            </w:pPr>
          </w:p>
        </w:tc>
        <w:tc>
          <w:tcPr>
            <w:tcW w:w="2648"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19,580</w:t>
            </w:r>
          </w:p>
        </w:tc>
        <w:tc>
          <w:tcPr>
            <w:tcW w:w="281" w:type="dxa"/>
            <w:tcBorders>
              <w:left w:val="single" w:sz="4" w:space="0" w:color="auto"/>
              <w:right w:val="single" w:sz="4" w:space="0" w:color="auto"/>
            </w:tcBorders>
          </w:tcPr>
          <w:p w:rsidR="00000000" w:rsidRDefault="00000000">
            <w:pPr>
              <w:spacing w:before="120"/>
              <w:jc w:val="center"/>
              <w:rPr>
                <w:sz w:val="22"/>
              </w:rPr>
            </w:pPr>
          </w:p>
        </w:tc>
        <w:tc>
          <w:tcPr>
            <w:tcW w:w="1540"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55,624</w:t>
            </w:r>
          </w:p>
        </w:tc>
        <w:tc>
          <w:tcPr>
            <w:tcW w:w="281" w:type="dxa"/>
            <w:tcBorders>
              <w:left w:val="single" w:sz="4" w:space="0" w:color="auto"/>
              <w:right w:val="single" w:sz="4" w:space="0" w:color="auto"/>
            </w:tcBorders>
          </w:tcPr>
          <w:p w:rsidR="00000000" w:rsidRDefault="00000000">
            <w:pPr>
              <w:spacing w:before="120"/>
              <w:jc w:val="center"/>
              <w:rPr>
                <w:sz w:val="22"/>
              </w:rPr>
            </w:pPr>
          </w:p>
        </w:tc>
        <w:tc>
          <w:tcPr>
            <w:tcW w:w="1358"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60</w:t>
            </w:r>
          </w:p>
        </w:tc>
      </w:tr>
      <w:tr w:rsidR="00000000">
        <w:tblPrEx>
          <w:tblCellMar>
            <w:top w:w="0" w:type="dxa"/>
            <w:bottom w:w="0" w:type="dxa"/>
          </w:tblCellMar>
        </w:tblPrEx>
        <w:tc>
          <w:tcPr>
            <w:tcW w:w="817"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1994</w:t>
            </w:r>
          </w:p>
        </w:tc>
        <w:tc>
          <w:tcPr>
            <w:tcW w:w="262" w:type="dxa"/>
            <w:tcBorders>
              <w:left w:val="single" w:sz="4" w:space="0" w:color="auto"/>
              <w:right w:val="single" w:sz="4" w:space="0" w:color="auto"/>
            </w:tcBorders>
          </w:tcPr>
          <w:p w:rsidR="00000000" w:rsidRDefault="00000000">
            <w:pPr>
              <w:spacing w:before="120"/>
              <w:jc w:val="center"/>
              <w:rPr>
                <w:sz w:val="22"/>
              </w:rPr>
            </w:pPr>
          </w:p>
        </w:tc>
        <w:tc>
          <w:tcPr>
            <w:tcW w:w="2102"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76,832</w:t>
            </w:r>
          </w:p>
        </w:tc>
        <w:tc>
          <w:tcPr>
            <w:tcW w:w="282" w:type="dxa"/>
            <w:tcBorders>
              <w:left w:val="single" w:sz="4" w:space="0" w:color="auto"/>
              <w:right w:val="single" w:sz="4" w:space="0" w:color="auto"/>
            </w:tcBorders>
          </w:tcPr>
          <w:p w:rsidR="00000000" w:rsidRDefault="00000000">
            <w:pPr>
              <w:spacing w:before="120"/>
              <w:jc w:val="center"/>
              <w:rPr>
                <w:sz w:val="22"/>
              </w:rPr>
            </w:pPr>
          </w:p>
        </w:tc>
        <w:tc>
          <w:tcPr>
            <w:tcW w:w="2648"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55,407</w:t>
            </w:r>
          </w:p>
        </w:tc>
        <w:tc>
          <w:tcPr>
            <w:tcW w:w="281" w:type="dxa"/>
            <w:tcBorders>
              <w:left w:val="single" w:sz="4" w:space="0" w:color="auto"/>
              <w:right w:val="single" w:sz="4" w:space="0" w:color="auto"/>
            </w:tcBorders>
          </w:tcPr>
          <w:p w:rsidR="00000000" w:rsidRDefault="00000000">
            <w:pPr>
              <w:spacing w:before="120"/>
              <w:jc w:val="center"/>
              <w:rPr>
                <w:sz w:val="22"/>
              </w:rPr>
            </w:pPr>
          </w:p>
        </w:tc>
        <w:tc>
          <w:tcPr>
            <w:tcW w:w="1540"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134,233</w:t>
            </w:r>
          </w:p>
        </w:tc>
        <w:tc>
          <w:tcPr>
            <w:tcW w:w="281" w:type="dxa"/>
            <w:tcBorders>
              <w:left w:val="single" w:sz="4" w:space="0" w:color="auto"/>
              <w:right w:val="single" w:sz="4" w:space="0" w:color="auto"/>
            </w:tcBorders>
          </w:tcPr>
          <w:p w:rsidR="00000000" w:rsidRDefault="00000000">
            <w:pPr>
              <w:spacing w:before="120"/>
              <w:jc w:val="center"/>
              <w:rPr>
                <w:sz w:val="22"/>
              </w:rPr>
            </w:pPr>
          </w:p>
        </w:tc>
        <w:tc>
          <w:tcPr>
            <w:tcW w:w="1358" w:type="dxa"/>
            <w:tcBorders>
              <w:top w:val="double" w:sz="4" w:space="0" w:color="auto"/>
              <w:left w:val="single" w:sz="4" w:space="0" w:color="auto"/>
              <w:bottom w:val="double" w:sz="4" w:space="0" w:color="auto"/>
              <w:right w:val="single" w:sz="4" w:space="0" w:color="auto"/>
            </w:tcBorders>
          </w:tcPr>
          <w:p w:rsidR="00000000" w:rsidRDefault="00000000">
            <w:pPr>
              <w:spacing w:before="120"/>
              <w:jc w:val="center"/>
              <w:rPr>
                <w:sz w:val="22"/>
              </w:rPr>
            </w:pPr>
            <w:r>
              <w:rPr>
                <w:sz w:val="22"/>
              </w:rPr>
              <w:t>144</w:t>
            </w:r>
          </w:p>
        </w:tc>
      </w:tr>
      <w:tr w:rsidR="00000000">
        <w:tblPrEx>
          <w:tblCellMar>
            <w:top w:w="0" w:type="dxa"/>
            <w:bottom w:w="0" w:type="dxa"/>
          </w:tblCellMar>
        </w:tblPrEx>
        <w:tc>
          <w:tcPr>
            <w:tcW w:w="817" w:type="dxa"/>
            <w:tcBorders>
              <w:top w:val="double" w:sz="4" w:space="0" w:color="auto"/>
              <w:left w:val="single" w:sz="4" w:space="0" w:color="auto"/>
              <w:bottom w:val="single" w:sz="4" w:space="0" w:color="auto"/>
              <w:right w:val="single" w:sz="4" w:space="0" w:color="auto"/>
            </w:tcBorders>
          </w:tcPr>
          <w:p w:rsidR="00000000" w:rsidRDefault="00000000">
            <w:pPr>
              <w:spacing w:before="120"/>
              <w:jc w:val="center"/>
              <w:rPr>
                <w:sz w:val="22"/>
              </w:rPr>
            </w:pPr>
            <w:r>
              <w:rPr>
                <w:sz w:val="22"/>
              </w:rPr>
              <w:t>1995*</w:t>
            </w:r>
          </w:p>
        </w:tc>
        <w:tc>
          <w:tcPr>
            <w:tcW w:w="262" w:type="dxa"/>
            <w:tcBorders>
              <w:left w:val="single" w:sz="4" w:space="0" w:color="auto"/>
              <w:right w:val="single" w:sz="4" w:space="0" w:color="auto"/>
            </w:tcBorders>
          </w:tcPr>
          <w:p w:rsidR="00000000" w:rsidRDefault="00000000">
            <w:pPr>
              <w:spacing w:before="120"/>
              <w:jc w:val="center"/>
              <w:rPr>
                <w:sz w:val="22"/>
              </w:rPr>
            </w:pPr>
          </w:p>
        </w:tc>
        <w:tc>
          <w:tcPr>
            <w:tcW w:w="2102" w:type="dxa"/>
            <w:tcBorders>
              <w:top w:val="double" w:sz="4" w:space="0" w:color="auto"/>
              <w:left w:val="single" w:sz="4" w:space="0" w:color="auto"/>
              <w:bottom w:val="single" w:sz="4" w:space="0" w:color="auto"/>
              <w:right w:val="single" w:sz="4" w:space="0" w:color="auto"/>
            </w:tcBorders>
          </w:tcPr>
          <w:p w:rsidR="00000000" w:rsidRDefault="00000000">
            <w:pPr>
              <w:spacing w:before="120"/>
              <w:jc w:val="center"/>
              <w:rPr>
                <w:sz w:val="22"/>
              </w:rPr>
            </w:pPr>
            <w:r>
              <w:rPr>
                <w:sz w:val="22"/>
              </w:rPr>
              <w:t>74,607</w:t>
            </w:r>
          </w:p>
        </w:tc>
        <w:tc>
          <w:tcPr>
            <w:tcW w:w="282" w:type="dxa"/>
            <w:tcBorders>
              <w:left w:val="single" w:sz="4" w:space="0" w:color="auto"/>
              <w:right w:val="single" w:sz="4" w:space="0" w:color="auto"/>
            </w:tcBorders>
          </w:tcPr>
          <w:p w:rsidR="00000000" w:rsidRDefault="00000000">
            <w:pPr>
              <w:spacing w:before="120"/>
              <w:jc w:val="center"/>
              <w:rPr>
                <w:sz w:val="22"/>
              </w:rPr>
            </w:pPr>
          </w:p>
        </w:tc>
        <w:tc>
          <w:tcPr>
            <w:tcW w:w="2648" w:type="dxa"/>
            <w:tcBorders>
              <w:top w:val="double" w:sz="4" w:space="0" w:color="auto"/>
              <w:left w:val="single" w:sz="4" w:space="0" w:color="auto"/>
              <w:bottom w:val="single" w:sz="4" w:space="0" w:color="auto"/>
              <w:right w:val="single" w:sz="4" w:space="0" w:color="auto"/>
            </w:tcBorders>
          </w:tcPr>
          <w:p w:rsidR="00000000" w:rsidRDefault="00000000">
            <w:pPr>
              <w:spacing w:before="120"/>
              <w:jc w:val="center"/>
              <w:rPr>
                <w:sz w:val="22"/>
              </w:rPr>
            </w:pPr>
            <w:r>
              <w:rPr>
                <w:sz w:val="22"/>
              </w:rPr>
              <w:t>12,117</w:t>
            </w:r>
          </w:p>
        </w:tc>
        <w:tc>
          <w:tcPr>
            <w:tcW w:w="281" w:type="dxa"/>
            <w:tcBorders>
              <w:left w:val="single" w:sz="4" w:space="0" w:color="auto"/>
              <w:right w:val="single" w:sz="4" w:space="0" w:color="auto"/>
            </w:tcBorders>
          </w:tcPr>
          <w:p w:rsidR="00000000" w:rsidRDefault="00000000">
            <w:pPr>
              <w:spacing w:before="120"/>
              <w:jc w:val="center"/>
              <w:rPr>
                <w:sz w:val="22"/>
              </w:rPr>
            </w:pPr>
          </w:p>
        </w:tc>
        <w:tc>
          <w:tcPr>
            <w:tcW w:w="1540" w:type="dxa"/>
            <w:tcBorders>
              <w:top w:val="double" w:sz="4" w:space="0" w:color="auto"/>
              <w:left w:val="single" w:sz="4" w:space="0" w:color="auto"/>
              <w:bottom w:val="single" w:sz="4" w:space="0" w:color="auto"/>
              <w:right w:val="single" w:sz="4" w:space="0" w:color="auto"/>
            </w:tcBorders>
          </w:tcPr>
          <w:p w:rsidR="00000000" w:rsidRDefault="00000000">
            <w:pPr>
              <w:spacing w:before="120"/>
              <w:jc w:val="center"/>
              <w:rPr>
                <w:sz w:val="22"/>
              </w:rPr>
            </w:pPr>
            <w:r>
              <w:rPr>
                <w:sz w:val="22"/>
              </w:rPr>
              <w:t>86,724</w:t>
            </w:r>
          </w:p>
        </w:tc>
        <w:tc>
          <w:tcPr>
            <w:tcW w:w="281" w:type="dxa"/>
            <w:tcBorders>
              <w:left w:val="single" w:sz="4" w:space="0" w:color="auto"/>
              <w:right w:val="single" w:sz="4" w:space="0" w:color="auto"/>
            </w:tcBorders>
          </w:tcPr>
          <w:p w:rsidR="00000000" w:rsidRDefault="00000000">
            <w:pPr>
              <w:spacing w:before="120"/>
              <w:jc w:val="center"/>
              <w:rPr>
                <w:sz w:val="22"/>
              </w:rPr>
            </w:pPr>
          </w:p>
        </w:tc>
        <w:tc>
          <w:tcPr>
            <w:tcW w:w="1358" w:type="dxa"/>
            <w:tcBorders>
              <w:top w:val="double" w:sz="4" w:space="0" w:color="auto"/>
              <w:left w:val="single" w:sz="4" w:space="0" w:color="auto"/>
              <w:bottom w:val="single" w:sz="4" w:space="0" w:color="auto"/>
              <w:right w:val="single" w:sz="4" w:space="0" w:color="auto"/>
            </w:tcBorders>
          </w:tcPr>
          <w:p w:rsidR="00000000" w:rsidRDefault="00000000">
            <w:pPr>
              <w:spacing w:before="120"/>
              <w:jc w:val="center"/>
              <w:rPr>
                <w:sz w:val="22"/>
              </w:rPr>
            </w:pPr>
            <w:r>
              <w:rPr>
                <w:sz w:val="22"/>
              </w:rPr>
              <w:t>93</w:t>
            </w:r>
          </w:p>
        </w:tc>
      </w:tr>
    </w:tbl>
    <w:p w:rsidR="00000000" w:rsidRDefault="00000000">
      <w:pPr>
        <w:rPr>
          <w:rFonts w:hint="eastAsia"/>
        </w:rPr>
      </w:pPr>
    </w:p>
    <w:p w:rsidR="00000000" w:rsidRDefault="00000000">
      <w:pPr>
        <w:spacing w:after="320"/>
        <w:rPr>
          <w:rFonts w:eastAsia="KaiTi_GB2312" w:hint="eastAsia"/>
          <w:snapToGrid/>
          <w:spacing w:val="0"/>
          <w:sz w:val="22"/>
        </w:rPr>
      </w:pPr>
      <w:r>
        <w:rPr>
          <w:rFonts w:eastAsia="KaiTi_GB2312" w:hint="eastAsia"/>
          <w:snapToGrid/>
          <w:spacing w:val="0"/>
          <w:sz w:val="22"/>
        </w:rPr>
        <w:t>*  1995</w:t>
      </w:r>
      <w:r>
        <w:rPr>
          <w:rFonts w:eastAsia="KaiTi_GB2312" w:hint="eastAsia"/>
          <w:snapToGrid/>
          <w:spacing w:val="0"/>
          <w:sz w:val="22"/>
        </w:rPr>
        <w:t>年的数据没有考虑进克罗地亚共和国发展和重建部为学校重建提供的资金。</w:t>
      </w:r>
    </w:p>
    <w:p w:rsidR="00000000" w:rsidRDefault="00000000">
      <w:pPr>
        <w:rPr>
          <w:rFonts w:hint="eastAsia"/>
        </w:rPr>
      </w:pPr>
      <w:r>
        <w:rPr>
          <w:rFonts w:hint="eastAsia"/>
        </w:rPr>
        <w:tab/>
        <w:t xml:space="preserve">414.  </w:t>
      </w:r>
      <w:r>
        <w:rPr>
          <w:rFonts w:hint="eastAsia"/>
        </w:rPr>
        <w:t>公立学校由国家供资，中央教育管理部门作一般性供资，地区管理部门给予部分供资。中央管理部门</w:t>
      </w:r>
      <w:r>
        <w:rPr>
          <w:rFonts w:hint="eastAsia"/>
        </w:rPr>
        <w:t>(</w:t>
      </w:r>
      <w:r>
        <w:rPr>
          <w:rFonts w:hint="eastAsia"/>
        </w:rPr>
        <w:t>教育和体育部</w:t>
      </w:r>
      <w:r>
        <w:rPr>
          <w:rFonts w:hint="eastAsia"/>
        </w:rPr>
        <w:t>)</w:t>
      </w:r>
      <w:r>
        <w:rPr>
          <w:rFonts w:hint="eastAsia"/>
        </w:rPr>
        <w:t>从国民预算中为教师和其他公立学校职员的工资、学校活动和必需品的支出以及学校建筑和设备方案的主要部分提供资金。地区和地方管理部门参加学校建筑和设备配置的份额较小</w:t>
      </w:r>
      <w:r>
        <w:rPr>
          <w:rFonts w:hint="eastAsia"/>
        </w:rPr>
        <w:t>(20%-50%</w:t>
      </w:r>
      <w:r>
        <w:rPr>
          <w:rFonts w:hint="eastAsia"/>
        </w:rPr>
        <w:t>，取决于地区或市的发展状况</w:t>
      </w:r>
      <w:r>
        <w:rPr>
          <w:rFonts w:hint="eastAsia"/>
        </w:rPr>
        <w:t>)</w:t>
      </w:r>
      <w:r>
        <w:rPr>
          <w:rFonts w:hint="eastAsia"/>
        </w:rPr>
        <w:t>。</w:t>
      </w:r>
    </w:p>
    <w:p w:rsidR="00000000" w:rsidRDefault="00000000">
      <w:pPr>
        <w:rPr>
          <w:rFonts w:hint="eastAsia"/>
        </w:rPr>
      </w:pPr>
      <w:r>
        <w:rPr>
          <w:rFonts w:hint="eastAsia"/>
        </w:rPr>
        <w:tab/>
        <w:t xml:space="preserve">415.  </w:t>
      </w:r>
      <w:r>
        <w:rPr>
          <w:rFonts w:hint="eastAsia"/>
        </w:rPr>
        <w:t>创建学校的人用学生交的学费和通过其他来源为私立学校供资。遵循公立学校标准的“私立公办”学校由中央当局补贴。</w:t>
      </w:r>
    </w:p>
    <w:p w:rsidR="00000000" w:rsidRDefault="00000000">
      <w:pPr>
        <w:rPr>
          <w:rFonts w:hint="eastAsia"/>
        </w:rPr>
      </w:pPr>
      <w:r>
        <w:rPr>
          <w:rFonts w:hint="eastAsia"/>
        </w:rPr>
        <w:tab/>
        <w:t xml:space="preserve">416.  </w:t>
      </w:r>
      <w:r>
        <w:rPr>
          <w:rFonts w:hint="eastAsia"/>
        </w:rPr>
        <w:t>少数民族有权根据《关于族裔和民族社团或少数人群体的人权和权利的宪法》第</w:t>
      </w:r>
      <w:r>
        <w:rPr>
          <w:rFonts w:hint="eastAsia"/>
        </w:rPr>
        <w:t>14</w:t>
      </w:r>
      <w:r>
        <w:rPr>
          <w:rFonts w:hint="eastAsia"/>
        </w:rPr>
        <w:t>、</w:t>
      </w:r>
      <w:r>
        <w:rPr>
          <w:rFonts w:hint="eastAsia"/>
        </w:rPr>
        <w:t>15</w:t>
      </w:r>
      <w:r>
        <w:rPr>
          <w:rFonts w:hint="eastAsia"/>
        </w:rPr>
        <w:t>、</w:t>
      </w:r>
      <w:r>
        <w:rPr>
          <w:rFonts w:hint="eastAsia"/>
        </w:rPr>
        <w:t>16</w:t>
      </w:r>
      <w:r>
        <w:rPr>
          <w:rFonts w:hint="eastAsia"/>
        </w:rPr>
        <w:t>和</w:t>
      </w:r>
      <w:r>
        <w:rPr>
          <w:rFonts w:hint="eastAsia"/>
        </w:rPr>
        <w:t>17</w:t>
      </w:r>
      <w:r>
        <w:rPr>
          <w:rFonts w:hint="eastAsia"/>
        </w:rPr>
        <w:t>条以及《民族语言教育法》接受教育。</w:t>
      </w:r>
    </w:p>
    <w:p w:rsidR="00000000" w:rsidRDefault="00000000">
      <w:pPr>
        <w:rPr>
          <w:rFonts w:hint="eastAsia"/>
        </w:rPr>
      </w:pPr>
      <w:r>
        <w:rPr>
          <w:rFonts w:hint="eastAsia"/>
        </w:rPr>
        <w:tab/>
        <w:t xml:space="preserve">417.  </w:t>
      </w:r>
      <w:r>
        <w:rPr>
          <w:rFonts w:hint="eastAsia"/>
        </w:rPr>
        <w:t>克罗地亚共和国在幼儿园和学校对族裔和民族社团以及少数人群体的成员用他们自己的语言和文字进行教育，如果他们提出要求，可以采用适当体现他们的历史、文化和科学的专门课程。</w:t>
      </w:r>
    </w:p>
    <w:p w:rsidR="00000000" w:rsidRDefault="00000000">
      <w:pPr>
        <w:rPr>
          <w:rFonts w:hint="eastAsia"/>
        </w:rPr>
      </w:pPr>
      <w:r>
        <w:rPr>
          <w:rFonts w:hint="eastAsia"/>
        </w:rPr>
        <w:tab/>
        <w:t xml:space="preserve">418.  </w:t>
      </w:r>
      <w:r>
        <w:rPr>
          <w:rFonts w:hint="eastAsia"/>
        </w:rPr>
        <w:t>但是，这一部分与学生所属何种族裔毫无关系的教育是根据克罗地亚共和国主管机构在教育方面规定的范围和内容所进行的。</w:t>
      </w:r>
    </w:p>
    <w:p w:rsidR="00000000" w:rsidRDefault="00000000">
      <w:pPr>
        <w:spacing w:after="320"/>
        <w:rPr>
          <w:rFonts w:hint="eastAsia"/>
        </w:rPr>
      </w:pPr>
      <w:r>
        <w:rPr>
          <w:rFonts w:hint="eastAsia"/>
        </w:rPr>
        <w:tab/>
        <w:t xml:space="preserve">419.  </w:t>
      </w:r>
      <w:r>
        <w:rPr>
          <w:rFonts w:hint="eastAsia"/>
        </w:rPr>
        <w:t>与学生的族裔所属有某种联系的学校课程由克罗地亚共和国的一个机构作出规定，该机构根据克罗地亚共和国族间关系办公室的建议负责教育事务。</w:t>
      </w:r>
    </w:p>
    <w:p w:rsidR="00000000" w:rsidRDefault="00000000">
      <w:pPr>
        <w:pStyle w:val="Heading3"/>
        <w:rPr>
          <w:rFonts w:hint="eastAsia"/>
        </w:rPr>
      </w:pPr>
      <w:r>
        <w:rPr>
          <w:rFonts w:hint="eastAsia"/>
        </w:rPr>
        <w:t>第</w:t>
      </w:r>
      <w:r>
        <w:t xml:space="preserve"> </w:t>
      </w:r>
      <w:r>
        <w:rPr>
          <w:rFonts w:hint="eastAsia"/>
        </w:rPr>
        <w:t>15</w:t>
      </w:r>
      <w:r>
        <w:t xml:space="preserve"> </w:t>
      </w:r>
      <w:r>
        <w:rPr>
          <w:rFonts w:hint="eastAsia"/>
        </w:rPr>
        <w:t>条</w:t>
      </w:r>
    </w:p>
    <w:p w:rsidR="00000000" w:rsidRDefault="00000000">
      <w:pPr>
        <w:rPr>
          <w:rFonts w:hint="eastAsia"/>
        </w:rPr>
      </w:pPr>
      <w:r>
        <w:rPr>
          <w:rFonts w:hint="eastAsia"/>
        </w:rPr>
        <w:tab/>
        <w:t xml:space="preserve">420.  </w:t>
      </w:r>
      <w:r>
        <w:rPr>
          <w:rFonts w:hint="eastAsia"/>
        </w:rPr>
        <w:t>《宪法》第</w:t>
      </w:r>
      <w:r>
        <w:rPr>
          <w:rFonts w:hint="eastAsia"/>
        </w:rPr>
        <w:t>86</w:t>
      </w:r>
      <w:r>
        <w:rPr>
          <w:rFonts w:hint="eastAsia"/>
        </w:rPr>
        <w:t>条保障科学和学术、文化、艺术、知识和其他各种创造活动的自由，保障因这种自由而产生的道德和物质权利。共和国鼓励和帮助发展科学、文化和艺术，作为国家精神价值保护科学、文化和艺术资产。</w:t>
      </w:r>
    </w:p>
    <w:p w:rsidR="00000000" w:rsidRDefault="00000000">
      <w:pPr>
        <w:rPr>
          <w:rFonts w:hint="eastAsia"/>
        </w:rPr>
      </w:pPr>
      <w:r>
        <w:rPr>
          <w:rFonts w:hint="eastAsia"/>
        </w:rPr>
        <w:tab/>
      </w:r>
      <w:r>
        <w:rPr>
          <w:rFonts w:hint="eastAsia"/>
        </w:rPr>
        <w:tab/>
      </w:r>
      <w:r>
        <w:rPr>
          <w:rFonts w:hint="eastAsia"/>
        </w:rPr>
        <w:t>这一材料由下列规章作规定：</w:t>
      </w:r>
    </w:p>
    <w:p w:rsidR="00000000" w:rsidRDefault="00000000">
      <w:pPr>
        <w:ind w:left="1040"/>
        <w:rPr>
          <w:rFonts w:hint="eastAsia"/>
        </w:rPr>
      </w:pPr>
      <w:r>
        <w:rPr>
          <w:rFonts w:hint="eastAsia"/>
        </w:rPr>
        <w:tab/>
      </w:r>
      <w:r>
        <w:rPr>
          <w:rFonts w:hint="eastAsia"/>
        </w:rPr>
        <w:t>机构法</w:t>
      </w:r>
      <w:r>
        <w:rPr>
          <w:rFonts w:hint="eastAsia"/>
        </w:rPr>
        <w:t>(</w:t>
      </w:r>
      <w:r>
        <w:rPr>
          <w:rFonts w:hint="eastAsia"/>
        </w:rPr>
        <w:t>《官方公报》第</w:t>
      </w:r>
      <w:r>
        <w:rPr>
          <w:rFonts w:hint="eastAsia"/>
        </w:rPr>
        <w:t>76/93</w:t>
      </w:r>
      <w:r>
        <w:rPr>
          <w:rFonts w:hint="eastAsia"/>
        </w:rPr>
        <w:t>和</w:t>
      </w:r>
      <w:r>
        <w:rPr>
          <w:rFonts w:hint="eastAsia"/>
        </w:rPr>
        <w:t>29/97</w:t>
      </w:r>
      <w:r>
        <w:rPr>
          <w:rFonts w:hint="eastAsia"/>
        </w:rPr>
        <w:t>号</w:t>
      </w:r>
      <w:r>
        <w:rPr>
          <w:rFonts w:hint="eastAsia"/>
        </w:rPr>
        <w:t>)</w:t>
      </w:r>
    </w:p>
    <w:p w:rsidR="00000000" w:rsidRDefault="00000000">
      <w:pPr>
        <w:ind w:left="1040"/>
        <w:rPr>
          <w:rFonts w:hint="eastAsia"/>
        </w:rPr>
      </w:pPr>
      <w:r>
        <w:rPr>
          <w:rFonts w:hint="eastAsia"/>
        </w:rPr>
        <w:tab/>
      </w:r>
      <w:r>
        <w:rPr>
          <w:rFonts w:hint="eastAsia"/>
        </w:rPr>
        <w:t>《戏剧法》</w:t>
      </w:r>
      <w:r>
        <w:rPr>
          <w:rFonts w:hint="eastAsia"/>
        </w:rPr>
        <w:t>(</w:t>
      </w:r>
      <w:r>
        <w:rPr>
          <w:rFonts w:hint="eastAsia"/>
        </w:rPr>
        <w:t>《官方公报》第</w:t>
      </w:r>
      <w:r>
        <w:rPr>
          <w:rFonts w:hint="eastAsia"/>
        </w:rPr>
        <w:t>61/91</w:t>
      </w:r>
      <w:r>
        <w:rPr>
          <w:rFonts w:hint="eastAsia"/>
        </w:rPr>
        <w:t>号</w:t>
      </w:r>
      <w:r>
        <w:rPr>
          <w:rFonts w:hint="eastAsia"/>
        </w:rPr>
        <w:t>)</w:t>
      </w:r>
    </w:p>
    <w:p w:rsidR="00000000" w:rsidRDefault="00000000">
      <w:pPr>
        <w:ind w:left="1040"/>
        <w:rPr>
          <w:rFonts w:hint="eastAsia"/>
        </w:rPr>
      </w:pPr>
      <w:r>
        <w:rPr>
          <w:rFonts w:hint="eastAsia"/>
        </w:rPr>
        <w:tab/>
      </w:r>
      <w:r>
        <w:rPr>
          <w:rFonts w:hint="eastAsia"/>
        </w:rPr>
        <w:t>《文化机构管理法》</w:t>
      </w:r>
      <w:r>
        <w:rPr>
          <w:rFonts w:hint="eastAsia"/>
        </w:rPr>
        <w:t>(</w:t>
      </w:r>
      <w:r>
        <w:rPr>
          <w:rFonts w:hint="eastAsia"/>
        </w:rPr>
        <w:t>《官方公报》第</w:t>
      </w:r>
      <w:r>
        <w:rPr>
          <w:rFonts w:hint="eastAsia"/>
        </w:rPr>
        <w:t>50/95</w:t>
      </w:r>
      <w:r>
        <w:rPr>
          <w:rFonts w:hint="eastAsia"/>
        </w:rPr>
        <w:t>号</w:t>
      </w:r>
      <w:r>
        <w:rPr>
          <w:rFonts w:hint="eastAsia"/>
        </w:rPr>
        <w:t>)</w:t>
      </w:r>
    </w:p>
    <w:p w:rsidR="00000000" w:rsidRDefault="00000000">
      <w:pPr>
        <w:ind w:left="1040"/>
        <w:rPr>
          <w:rFonts w:hint="eastAsia"/>
        </w:rPr>
      </w:pPr>
      <w:r>
        <w:rPr>
          <w:rFonts w:hint="eastAsia"/>
        </w:rPr>
        <w:tab/>
      </w:r>
      <w:r>
        <w:rPr>
          <w:rFonts w:hint="eastAsia"/>
        </w:rPr>
        <w:t>《关于自营职业艺术家的权利和鼓励文化艺术创作的法律》</w:t>
      </w:r>
      <w:r>
        <w:rPr>
          <w:rFonts w:hint="eastAsia"/>
        </w:rPr>
        <w:t>(</w:t>
      </w:r>
      <w:r>
        <w:rPr>
          <w:rFonts w:hint="eastAsia"/>
        </w:rPr>
        <w:t>《官方公报》第</w:t>
      </w:r>
      <w:r>
        <w:rPr>
          <w:rFonts w:hint="eastAsia"/>
        </w:rPr>
        <w:t>43/96</w:t>
      </w:r>
      <w:r>
        <w:rPr>
          <w:rFonts w:hint="eastAsia"/>
        </w:rPr>
        <w:t>号</w:t>
      </w:r>
      <w:r>
        <w:rPr>
          <w:rFonts w:hint="eastAsia"/>
        </w:rPr>
        <w:t>)</w:t>
      </w:r>
    </w:p>
    <w:p w:rsidR="00000000" w:rsidRDefault="00000000">
      <w:pPr>
        <w:ind w:left="1040"/>
        <w:rPr>
          <w:rFonts w:hint="eastAsia"/>
        </w:rPr>
      </w:pPr>
      <w:r>
        <w:rPr>
          <w:rFonts w:hint="eastAsia"/>
        </w:rPr>
        <w:tab/>
      </w:r>
      <w:r>
        <w:rPr>
          <w:rFonts w:hint="eastAsia"/>
        </w:rPr>
        <w:t>《图书馆法》</w:t>
      </w:r>
      <w:r>
        <w:rPr>
          <w:rFonts w:hint="eastAsia"/>
        </w:rPr>
        <w:t>(</w:t>
      </w:r>
      <w:r>
        <w:rPr>
          <w:rFonts w:hint="eastAsia"/>
        </w:rPr>
        <w:t>《官方公报》第</w:t>
      </w:r>
      <w:r>
        <w:rPr>
          <w:rFonts w:hint="eastAsia"/>
        </w:rPr>
        <w:t>105/97</w:t>
      </w:r>
      <w:r>
        <w:rPr>
          <w:rFonts w:hint="eastAsia"/>
        </w:rPr>
        <w:t>号</w:t>
      </w:r>
      <w:r>
        <w:rPr>
          <w:rFonts w:hint="eastAsia"/>
        </w:rPr>
        <w:t>)</w:t>
      </w:r>
    </w:p>
    <w:p w:rsidR="00000000" w:rsidRDefault="00000000">
      <w:pPr>
        <w:ind w:left="1040"/>
        <w:rPr>
          <w:rFonts w:hint="eastAsia"/>
        </w:rPr>
      </w:pPr>
      <w:r>
        <w:rPr>
          <w:rFonts w:hint="eastAsia"/>
        </w:rPr>
        <w:tab/>
      </w:r>
      <w:r>
        <w:rPr>
          <w:rFonts w:hint="eastAsia"/>
        </w:rPr>
        <w:t>《博物馆法》</w:t>
      </w:r>
      <w:r>
        <w:rPr>
          <w:rFonts w:hint="eastAsia"/>
        </w:rPr>
        <w:t>(</w:t>
      </w:r>
      <w:r>
        <w:rPr>
          <w:rFonts w:hint="eastAsia"/>
        </w:rPr>
        <w:t>《官方公报》第</w:t>
      </w:r>
      <w:r>
        <w:rPr>
          <w:rFonts w:hint="eastAsia"/>
        </w:rPr>
        <w:t>142/98</w:t>
      </w:r>
      <w:r>
        <w:rPr>
          <w:rFonts w:hint="eastAsia"/>
        </w:rPr>
        <w:t>号</w:t>
      </w:r>
      <w:r>
        <w:rPr>
          <w:rFonts w:hint="eastAsia"/>
        </w:rPr>
        <w:t>)</w:t>
      </w:r>
    </w:p>
    <w:p w:rsidR="00000000" w:rsidRDefault="00000000">
      <w:pPr>
        <w:ind w:left="1040"/>
        <w:rPr>
          <w:rFonts w:hint="eastAsia"/>
        </w:rPr>
      </w:pPr>
      <w:r>
        <w:rPr>
          <w:rFonts w:hint="eastAsia"/>
        </w:rPr>
        <w:tab/>
      </w:r>
      <w:r>
        <w:rPr>
          <w:rFonts w:hint="eastAsia"/>
        </w:rPr>
        <w:t>《档案馆和档案材料法》</w:t>
      </w:r>
      <w:r>
        <w:rPr>
          <w:rFonts w:hint="eastAsia"/>
        </w:rPr>
        <w:t>(</w:t>
      </w:r>
      <w:r>
        <w:rPr>
          <w:rFonts w:hint="eastAsia"/>
        </w:rPr>
        <w:t>《官方公报》第</w:t>
      </w:r>
      <w:r>
        <w:rPr>
          <w:rFonts w:hint="eastAsia"/>
        </w:rPr>
        <w:t>105/97</w:t>
      </w:r>
      <w:r>
        <w:rPr>
          <w:rFonts w:hint="eastAsia"/>
        </w:rPr>
        <w:t>号</w:t>
      </w:r>
      <w:r>
        <w:rPr>
          <w:rFonts w:hint="eastAsia"/>
        </w:rPr>
        <w:t>)</w:t>
      </w:r>
    </w:p>
    <w:p w:rsidR="00000000" w:rsidRDefault="00000000">
      <w:pPr>
        <w:ind w:left="1040"/>
        <w:rPr>
          <w:rFonts w:hint="eastAsia"/>
        </w:rPr>
      </w:pPr>
      <w:r>
        <w:rPr>
          <w:rFonts w:hint="eastAsia"/>
        </w:rPr>
        <w:tab/>
      </w:r>
      <w:r>
        <w:rPr>
          <w:rFonts w:hint="eastAsia"/>
        </w:rPr>
        <w:t>《</w:t>
      </w:r>
      <w:r>
        <w:t>Ivan Mestrovic</w:t>
      </w:r>
      <w:r>
        <w:rPr>
          <w:rFonts w:hint="eastAsia"/>
        </w:rPr>
        <w:t>基金会法》</w:t>
      </w:r>
      <w:r>
        <w:rPr>
          <w:rFonts w:hint="eastAsia"/>
        </w:rPr>
        <w:t>(</w:t>
      </w:r>
      <w:r>
        <w:rPr>
          <w:rFonts w:hint="eastAsia"/>
        </w:rPr>
        <w:t>《官方公报》第</w:t>
      </w:r>
      <w:r>
        <w:rPr>
          <w:rFonts w:hint="eastAsia"/>
        </w:rPr>
        <w:t>9/91</w:t>
      </w:r>
      <w:r>
        <w:rPr>
          <w:rFonts w:hint="eastAsia"/>
        </w:rPr>
        <w:t>号</w:t>
      </w:r>
      <w:r>
        <w:rPr>
          <w:rFonts w:hint="eastAsia"/>
        </w:rPr>
        <w:t>)</w:t>
      </w:r>
    </w:p>
    <w:p w:rsidR="00000000" w:rsidRDefault="00000000">
      <w:pPr>
        <w:ind w:left="1040"/>
        <w:rPr>
          <w:rFonts w:hint="eastAsia"/>
        </w:rPr>
      </w:pPr>
      <w:r>
        <w:rPr>
          <w:rFonts w:hint="eastAsia"/>
        </w:rPr>
        <w:tab/>
      </w:r>
      <w:r>
        <w:rPr>
          <w:rFonts w:hint="eastAsia"/>
        </w:rPr>
        <w:t>《文化资产保护和维护法》</w:t>
      </w:r>
      <w:r>
        <w:rPr>
          <w:rFonts w:hint="eastAsia"/>
        </w:rPr>
        <w:t>(</w:t>
      </w:r>
      <w:r>
        <w:rPr>
          <w:rFonts w:hint="eastAsia"/>
        </w:rPr>
        <w:t>《官方公报》第</w:t>
      </w:r>
      <w:r>
        <w:rPr>
          <w:rFonts w:hint="eastAsia"/>
        </w:rPr>
        <w:t>69/99</w:t>
      </w:r>
      <w:r>
        <w:rPr>
          <w:rFonts w:hint="eastAsia"/>
        </w:rPr>
        <w:t>号</w:t>
      </w:r>
      <w:r>
        <w:rPr>
          <w:rFonts w:hint="eastAsia"/>
        </w:rPr>
        <w:t>)</w:t>
      </w:r>
    </w:p>
    <w:p w:rsidR="00000000" w:rsidRDefault="00000000">
      <w:pPr>
        <w:ind w:left="1040"/>
        <w:rPr>
          <w:rFonts w:hint="eastAsia"/>
        </w:rPr>
      </w:pPr>
      <w:r>
        <w:rPr>
          <w:rFonts w:hint="eastAsia"/>
        </w:rPr>
        <w:tab/>
      </w:r>
      <w:r>
        <w:rPr>
          <w:rFonts w:hint="eastAsia"/>
        </w:rPr>
        <w:t>《受威胁的</w:t>
      </w:r>
      <w:r>
        <w:t>Dubrovnik</w:t>
      </w:r>
      <w:r>
        <w:rPr>
          <w:rFonts w:hint="eastAsia"/>
        </w:rPr>
        <w:t>纪念碑整体重建法》</w:t>
      </w:r>
      <w:r>
        <w:rPr>
          <w:rFonts w:hint="eastAsia"/>
        </w:rPr>
        <w:t>(</w:t>
      </w:r>
      <w:r>
        <w:rPr>
          <w:rFonts w:hint="eastAsia"/>
        </w:rPr>
        <w:t>《官方公报》第</w:t>
      </w:r>
      <w:r>
        <w:rPr>
          <w:rFonts w:hint="eastAsia"/>
        </w:rPr>
        <w:t>21/86</w:t>
      </w:r>
      <w:r>
        <w:rPr>
          <w:rFonts w:hint="eastAsia"/>
        </w:rPr>
        <w:t>、</w:t>
      </w:r>
      <w:r>
        <w:rPr>
          <w:rFonts w:hint="eastAsia"/>
        </w:rPr>
        <w:t>33/89</w:t>
      </w:r>
      <w:r>
        <w:rPr>
          <w:rFonts w:hint="eastAsia"/>
        </w:rPr>
        <w:t>、</w:t>
      </w:r>
      <w:r>
        <w:rPr>
          <w:rFonts w:hint="eastAsia"/>
        </w:rPr>
        <w:t>26/93</w:t>
      </w:r>
      <w:r>
        <w:rPr>
          <w:rFonts w:hint="eastAsia"/>
        </w:rPr>
        <w:t>号</w:t>
      </w:r>
      <w:r>
        <w:rPr>
          <w:rFonts w:hint="eastAsia"/>
        </w:rPr>
        <w:t>)</w:t>
      </w:r>
    </w:p>
    <w:p w:rsidR="00000000" w:rsidRDefault="00000000">
      <w:pPr>
        <w:ind w:left="1040"/>
        <w:rPr>
          <w:rFonts w:hint="eastAsia"/>
        </w:rPr>
      </w:pPr>
      <w:r>
        <w:rPr>
          <w:rFonts w:hint="eastAsia"/>
        </w:rPr>
        <w:tab/>
      </w:r>
      <w:r>
        <w:rPr>
          <w:rFonts w:hint="eastAsia"/>
        </w:rPr>
        <w:t>《电影制片法》</w:t>
      </w:r>
      <w:r>
        <w:rPr>
          <w:rFonts w:hint="eastAsia"/>
        </w:rPr>
        <w:t>(</w:t>
      </w:r>
      <w:r>
        <w:rPr>
          <w:rFonts w:hint="eastAsia"/>
        </w:rPr>
        <w:t>《官方公报》第</w:t>
      </w:r>
      <w:r>
        <w:rPr>
          <w:rFonts w:hint="eastAsia"/>
        </w:rPr>
        <w:t>47/80</w:t>
      </w:r>
      <w:r>
        <w:rPr>
          <w:rFonts w:hint="eastAsia"/>
        </w:rPr>
        <w:t>、</w:t>
      </w:r>
      <w:r>
        <w:rPr>
          <w:rFonts w:hint="eastAsia"/>
        </w:rPr>
        <w:t>20/90</w:t>
      </w:r>
      <w:r>
        <w:rPr>
          <w:rFonts w:hint="eastAsia"/>
        </w:rPr>
        <w:t>和</w:t>
      </w:r>
      <w:r>
        <w:rPr>
          <w:rFonts w:hint="eastAsia"/>
        </w:rPr>
        <w:t>59/90</w:t>
      </w:r>
      <w:r>
        <w:rPr>
          <w:rFonts w:hint="eastAsia"/>
        </w:rPr>
        <w:t>号</w:t>
      </w:r>
      <w:r>
        <w:rPr>
          <w:rFonts w:hint="eastAsia"/>
        </w:rPr>
        <w:t>)</w:t>
      </w:r>
      <w:r>
        <w:rPr>
          <w:rFonts w:hint="eastAsia"/>
        </w:rPr>
        <w:t>和正在通过过程中的新电影法</w:t>
      </w:r>
    </w:p>
    <w:p w:rsidR="00000000" w:rsidRDefault="00000000">
      <w:pPr>
        <w:ind w:left="1040"/>
        <w:rPr>
          <w:rFonts w:hint="eastAsia"/>
        </w:rPr>
      </w:pPr>
      <w:r>
        <w:rPr>
          <w:rFonts w:hint="eastAsia"/>
        </w:rPr>
        <w:tab/>
      </w:r>
      <w:r>
        <w:rPr>
          <w:rFonts w:hint="eastAsia"/>
        </w:rPr>
        <w:t>《</w:t>
      </w:r>
      <w:r>
        <w:t>Vladimir Nazor</w:t>
      </w:r>
      <w:r>
        <w:rPr>
          <w:rFonts w:hint="eastAsia"/>
        </w:rPr>
        <w:t>奖法》</w:t>
      </w:r>
      <w:r>
        <w:rPr>
          <w:rFonts w:hint="eastAsia"/>
        </w:rPr>
        <w:t>(</w:t>
      </w:r>
      <w:r>
        <w:rPr>
          <w:rFonts w:hint="eastAsia"/>
        </w:rPr>
        <w:t>《官方公报》第</w:t>
      </w:r>
      <w:r>
        <w:rPr>
          <w:rFonts w:hint="eastAsia"/>
        </w:rPr>
        <w:t>27/91</w:t>
      </w:r>
      <w:r>
        <w:rPr>
          <w:rFonts w:hint="eastAsia"/>
        </w:rPr>
        <w:t>号</w:t>
      </w:r>
      <w:r>
        <w:rPr>
          <w:rFonts w:hint="eastAsia"/>
        </w:rPr>
        <w:t>)</w:t>
      </w:r>
    </w:p>
    <w:p w:rsidR="00000000" w:rsidRDefault="00000000">
      <w:pPr>
        <w:ind w:left="1040"/>
        <w:rPr>
          <w:rFonts w:hint="eastAsia"/>
        </w:rPr>
      </w:pPr>
      <w:r>
        <w:rPr>
          <w:rFonts w:hint="eastAsia"/>
        </w:rPr>
        <w:tab/>
      </w:r>
      <w:r>
        <w:rPr>
          <w:rFonts w:hint="eastAsia"/>
        </w:rPr>
        <w:t>《公共文化需求供资法》</w:t>
      </w:r>
      <w:r>
        <w:rPr>
          <w:rFonts w:hint="eastAsia"/>
        </w:rPr>
        <w:t>(</w:t>
      </w:r>
      <w:r>
        <w:rPr>
          <w:rFonts w:hint="eastAsia"/>
        </w:rPr>
        <w:t>《官方公报》第</w:t>
      </w:r>
      <w:r>
        <w:rPr>
          <w:rFonts w:hint="eastAsia"/>
        </w:rPr>
        <w:t>47/90</w:t>
      </w:r>
      <w:r>
        <w:rPr>
          <w:rFonts w:hint="eastAsia"/>
        </w:rPr>
        <w:t>和</w:t>
      </w:r>
      <w:r>
        <w:rPr>
          <w:rFonts w:hint="eastAsia"/>
        </w:rPr>
        <w:t>27/93</w:t>
      </w:r>
      <w:r>
        <w:rPr>
          <w:rFonts w:hint="eastAsia"/>
        </w:rPr>
        <w:t>号</w:t>
      </w:r>
      <w:r>
        <w:rPr>
          <w:rFonts w:hint="eastAsia"/>
        </w:rPr>
        <w:t>)</w:t>
      </w:r>
      <w:r>
        <w:rPr>
          <w:rFonts w:hint="eastAsia"/>
        </w:rPr>
        <w:t>。</w:t>
      </w:r>
    </w:p>
    <w:p w:rsidR="00000000" w:rsidRDefault="00000000">
      <w:pPr>
        <w:rPr>
          <w:rFonts w:hint="eastAsia"/>
        </w:rPr>
      </w:pPr>
      <w:r>
        <w:rPr>
          <w:rFonts w:hint="eastAsia"/>
        </w:rPr>
        <w:t>通过的法律符合国际法、国际公约、建议、决议的标准，使特定领域的所有有关问题切合时宜。它们根据欧洲和世界的惯例以及我们的法治确定了个人、机构和文化资产拥有者的权利和义务。</w:t>
      </w:r>
    </w:p>
    <w:p w:rsidR="00000000" w:rsidRDefault="00000000">
      <w:pPr>
        <w:rPr>
          <w:rFonts w:hint="eastAsia"/>
        </w:rPr>
      </w:pPr>
      <w:r>
        <w:rPr>
          <w:rFonts w:hint="eastAsia"/>
        </w:rPr>
        <w:tab/>
        <w:t xml:space="preserve">421.  </w:t>
      </w:r>
      <w:r>
        <w:rPr>
          <w:rFonts w:hint="eastAsia"/>
        </w:rPr>
        <w:t>国家和私人基金、个人以及在文化和艺术方面具有创造力的人都有机会在注意到市场经济的情况下参加文化活动，但要取决于有关方面如何获得资源。文化世界网络遍布，人人都能进入</w:t>
      </w:r>
      <w:r>
        <w:rPr>
          <w:rFonts w:hint="eastAsia"/>
        </w:rPr>
        <w:t>(</w:t>
      </w:r>
      <w:r>
        <w:rPr>
          <w:rFonts w:hint="eastAsia"/>
        </w:rPr>
        <w:t>美术馆、博物馆、图书馆、文化中心、剧院、电影院、业余爱好者协会等等…</w:t>
      </w:r>
      <w:r>
        <w:rPr>
          <w:rFonts w:hint="eastAsia"/>
        </w:rPr>
        <w:t>)</w:t>
      </w:r>
      <w:r>
        <w:rPr>
          <w:rFonts w:hint="eastAsia"/>
        </w:rPr>
        <w:t>。国家一直重视保护自然和文化遗产。</w:t>
      </w:r>
    </w:p>
    <w:p w:rsidR="00000000" w:rsidRDefault="00000000">
      <w:pPr>
        <w:rPr>
          <w:rFonts w:hint="eastAsia"/>
        </w:rPr>
      </w:pPr>
      <w:r>
        <w:rPr>
          <w:rFonts w:hint="eastAsia"/>
        </w:rPr>
        <w:tab/>
        <w:t xml:space="preserve">422.  </w:t>
      </w:r>
      <w:r>
        <w:rPr>
          <w:rFonts w:hint="eastAsia"/>
        </w:rPr>
        <w:t>克罗地亚在传统上是一个多种族社会，少数民族占全社会的五分之一。克罗地亚与少数民族的关系安排得当，立法和实践很好地解决了文化自治和邻居权的问题。</w:t>
      </w:r>
    </w:p>
    <w:p w:rsidR="00000000" w:rsidRDefault="00000000">
      <w:pPr>
        <w:rPr>
          <w:rFonts w:hint="eastAsia"/>
        </w:rPr>
      </w:pPr>
      <w:r>
        <w:rPr>
          <w:rFonts w:hint="eastAsia"/>
        </w:rPr>
        <w:tab/>
        <w:t xml:space="preserve">423.  </w:t>
      </w:r>
      <w:r>
        <w:rPr>
          <w:rFonts w:hint="eastAsia"/>
        </w:rPr>
        <w:t>必须要强调的是，克罗地亚不采取限制措施禁止或限制言论、创作以及文化和科学信息交流的自由。</w:t>
      </w:r>
    </w:p>
    <w:p w:rsidR="00000000" w:rsidRDefault="00000000">
      <w:pPr>
        <w:rPr>
          <w:rFonts w:hint="eastAsia"/>
        </w:rPr>
      </w:pPr>
      <w:r>
        <w:rPr>
          <w:rFonts w:hint="eastAsia"/>
        </w:rPr>
        <w:tab/>
        <w:t xml:space="preserve">424.  </w:t>
      </w:r>
      <w:r>
        <w:rPr>
          <w:rFonts w:hint="eastAsia"/>
        </w:rPr>
        <w:t>克罗地亚共和国分别批准和签署了文化、科学和教育合作方面的</w:t>
      </w:r>
      <w:r>
        <w:rPr>
          <w:rFonts w:hint="eastAsia"/>
        </w:rPr>
        <w:t>21</w:t>
      </w:r>
      <w:r>
        <w:rPr>
          <w:rFonts w:hint="eastAsia"/>
        </w:rPr>
        <w:t>和</w:t>
      </w:r>
      <w:r>
        <w:rPr>
          <w:rFonts w:hint="eastAsia"/>
        </w:rPr>
        <w:t>25</w:t>
      </w:r>
      <w:r>
        <w:rPr>
          <w:rFonts w:hint="eastAsia"/>
        </w:rPr>
        <w:t>个条约，</w:t>
      </w:r>
      <w:r>
        <w:rPr>
          <w:rFonts w:hint="eastAsia"/>
        </w:rPr>
        <w:t>12</w:t>
      </w:r>
      <w:r>
        <w:rPr>
          <w:rFonts w:hint="eastAsia"/>
        </w:rPr>
        <w:t>项文化合作方案。</w:t>
      </w:r>
    </w:p>
    <w:p w:rsidR="00000000" w:rsidRDefault="00000000">
      <w:pPr>
        <w:rPr>
          <w:rFonts w:hint="eastAsia"/>
        </w:rPr>
      </w:pPr>
      <w:r>
        <w:rPr>
          <w:rFonts w:hint="eastAsia"/>
        </w:rPr>
        <w:tab/>
        <w:t xml:space="preserve">425.  </w:t>
      </w:r>
      <w:r>
        <w:rPr>
          <w:rFonts w:hint="eastAsia"/>
        </w:rPr>
        <w:t>关于为实现人人得益于科学进步及其应用而采取的立法方面，包括保护、发展和传播科学方面的立法措施，克罗地亚共和国政府颁布了七项法律文书：</w:t>
      </w:r>
    </w:p>
    <w:p w:rsidR="00000000" w:rsidRDefault="00000000">
      <w:pPr>
        <w:ind w:left="1040"/>
        <w:rPr>
          <w:rFonts w:hint="eastAsia"/>
        </w:rPr>
      </w:pPr>
      <w:r>
        <w:rPr>
          <w:rFonts w:hint="eastAsia"/>
        </w:rPr>
        <w:t>《科学研究活动法》</w:t>
      </w:r>
    </w:p>
    <w:p w:rsidR="00000000" w:rsidRDefault="00000000">
      <w:pPr>
        <w:ind w:left="1040"/>
        <w:rPr>
          <w:rFonts w:hint="eastAsia"/>
        </w:rPr>
      </w:pPr>
      <w:r>
        <w:rPr>
          <w:rFonts w:hint="eastAsia"/>
        </w:rPr>
        <w:t>《高等教育法》</w:t>
      </w:r>
    </w:p>
    <w:p w:rsidR="00000000" w:rsidRDefault="00000000">
      <w:pPr>
        <w:ind w:left="1040"/>
        <w:rPr>
          <w:rFonts w:hint="eastAsia"/>
        </w:rPr>
      </w:pPr>
      <w:r>
        <w:rPr>
          <w:rFonts w:hint="eastAsia"/>
        </w:rPr>
        <w:t>《全国科学研究方案》</w:t>
      </w:r>
    </w:p>
    <w:p w:rsidR="00000000" w:rsidRDefault="00000000">
      <w:pPr>
        <w:ind w:left="1040"/>
        <w:rPr>
          <w:rFonts w:hint="eastAsia"/>
        </w:rPr>
      </w:pPr>
      <w:r>
        <w:rPr>
          <w:rFonts w:hint="eastAsia"/>
        </w:rPr>
        <w:t>《签署和执行国际条约法》</w:t>
      </w:r>
    </w:p>
    <w:p w:rsidR="00000000" w:rsidRDefault="00000000">
      <w:pPr>
        <w:ind w:left="1040"/>
        <w:rPr>
          <w:rFonts w:hint="eastAsia"/>
        </w:rPr>
      </w:pPr>
      <w:r>
        <w:rPr>
          <w:rFonts w:hint="eastAsia"/>
        </w:rPr>
        <w:t>《关于承认国外所获证书和文凭同等效力的法律》</w:t>
      </w:r>
    </w:p>
    <w:p w:rsidR="00000000" w:rsidRDefault="00000000">
      <w:pPr>
        <w:ind w:left="1040"/>
        <w:rPr>
          <w:rFonts w:hint="eastAsia"/>
        </w:rPr>
      </w:pPr>
      <w:r>
        <w:rPr>
          <w:rFonts w:hint="eastAsia"/>
        </w:rPr>
        <w:t>《关于监测与外国的科学、文化、教育、技术和工艺合作的法律》。</w:t>
      </w:r>
    </w:p>
    <w:p w:rsidR="00000000" w:rsidRDefault="00000000">
      <w:pPr>
        <w:rPr>
          <w:rFonts w:hint="eastAsia"/>
        </w:rPr>
      </w:pPr>
      <w:r>
        <w:rPr>
          <w:rFonts w:hint="eastAsia"/>
        </w:rPr>
        <w:tab/>
        <w:t xml:space="preserve">426.  </w:t>
      </w:r>
      <w:r>
        <w:rPr>
          <w:rFonts w:hint="eastAsia"/>
        </w:rPr>
        <w:t>《科学研究法》规定科学研究和创造自由，公众自由就业，保护知识产权、科学方案和倡议的竞争力、个人和尊严的自由和安全、科学家和研究人员对他们的活动后果的伦理和责任、环境保护、科学研究与高等教育的相互依赖、参加国际科学努力。</w:t>
      </w:r>
    </w:p>
    <w:p w:rsidR="00000000" w:rsidRDefault="00000000">
      <w:pPr>
        <w:rPr>
          <w:rFonts w:hint="eastAsia"/>
        </w:rPr>
      </w:pPr>
      <w:r>
        <w:rPr>
          <w:rFonts w:hint="eastAsia"/>
        </w:rPr>
        <w:tab/>
        <w:t xml:space="preserve">427.  </w:t>
      </w:r>
      <w:r>
        <w:rPr>
          <w:rFonts w:hint="eastAsia"/>
        </w:rPr>
        <w:t>在提高生活的文化和物质质量以及加快经济发展的工作方面，克罗地亚共和国正在为下列活动提供条件和经济资助：</w:t>
      </w:r>
    </w:p>
    <w:p w:rsidR="00000000" w:rsidRDefault="00000000">
      <w:pPr>
        <w:numPr>
          <w:ilvl w:val="0"/>
          <w:numId w:val="156"/>
        </w:numPr>
        <w:rPr>
          <w:rFonts w:hint="eastAsia"/>
        </w:rPr>
      </w:pPr>
      <w:r>
        <w:rPr>
          <w:rFonts w:hint="eastAsia"/>
        </w:rPr>
        <w:t>扩大科学知识和成就；</w:t>
      </w:r>
    </w:p>
    <w:p w:rsidR="00000000" w:rsidRDefault="00000000">
      <w:pPr>
        <w:numPr>
          <w:ilvl w:val="0"/>
          <w:numId w:val="156"/>
        </w:numPr>
        <w:rPr>
          <w:rFonts w:hint="eastAsia"/>
        </w:rPr>
      </w:pPr>
      <w:r>
        <w:rPr>
          <w:rFonts w:hint="eastAsia"/>
        </w:rPr>
        <w:t>增加科学研究活动的数量并提高质量；</w:t>
      </w:r>
    </w:p>
    <w:p w:rsidR="00000000" w:rsidRDefault="00000000">
      <w:pPr>
        <w:numPr>
          <w:ilvl w:val="0"/>
          <w:numId w:val="156"/>
        </w:numPr>
        <w:rPr>
          <w:rFonts w:hint="eastAsia"/>
        </w:rPr>
      </w:pPr>
      <w:r>
        <w:rPr>
          <w:rFonts w:hint="eastAsia"/>
        </w:rPr>
        <w:t>公布科学成就；</w:t>
      </w:r>
    </w:p>
    <w:p w:rsidR="00000000" w:rsidRDefault="00000000">
      <w:pPr>
        <w:numPr>
          <w:ilvl w:val="0"/>
          <w:numId w:val="156"/>
        </w:numPr>
        <w:rPr>
          <w:rFonts w:hint="eastAsia"/>
        </w:rPr>
      </w:pPr>
      <w:r>
        <w:rPr>
          <w:rFonts w:hint="eastAsia"/>
        </w:rPr>
        <w:t>提供应用科学研究结果的条件；</w:t>
      </w:r>
    </w:p>
    <w:p w:rsidR="00000000" w:rsidRDefault="00000000">
      <w:pPr>
        <w:numPr>
          <w:ilvl w:val="0"/>
          <w:numId w:val="156"/>
        </w:numPr>
        <w:rPr>
          <w:rFonts w:hint="eastAsia"/>
        </w:rPr>
      </w:pPr>
      <w:r>
        <w:rPr>
          <w:rFonts w:hint="eastAsia"/>
        </w:rPr>
        <w:t>支持和奖励科学家、研究人员以及高级科研员的教育。</w:t>
      </w:r>
    </w:p>
    <w:p w:rsidR="00000000" w:rsidRDefault="00000000">
      <w:pPr>
        <w:rPr>
          <w:rFonts w:hint="eastAsia"/>
        </w:rPr>
      </w:pPr>
      <w:r>
        <w:rPr>
          <w:rFonts w:hint="eastAsia"/>
        </w:rPr>
        <w:tab/>
        <w:t xml:space="preserve">428.  </w:t>
      </w:r>
      <w:r>
        <w:rPr>
          <w:rFonts w:hint="eastAsia"/>
        </w:rPr>
        <w:t>开展科学和研究活动的体制由四大种机构组成：四所大学内的公立</w:t>
      </w:r>
      <w:r>
        <w:rPr>
          <w:rFonts w:hint="eastAsia"/>
        </w:rPr>
        <w:t>(</w:t>
      </w:r>
      <w:r>
        <w:rPr>
          <w:rFonts w:hint="eastAsia"/>
        </w:rPr>
        <w:t>国立</w:t>
      </w:r>
      <w:r>
        <w:rPr>
          <w:rFonts w:hint="eastAsia"/>
        </w:rPr>
        <w:t>)</w:t>
      </w:r>
      <w:r>
        <w:rPr>
          <w:rFonts w:hint="eastAsia"/>
        </w:rPr>
        <w:t>研究所和高考教育机构；工业研究所和克罗地亚艺术和科学院等其他公司实体；独立的研究所；保健研究所。所有这些机构在签订协议和机构或研究人员独自从事国际合作方面独立于政府。</w:t>
      </w:r>
    </w:p>
    <w:p w:rsidR="00000000" w:rsidRDefault="00000000">
      <w:pPr>
        <w:rPr>
          <w:rFonts w:hint="eastAsia"/>
        </w:rPr>
      </w:pPr>
      <w:r>
        <w:rPr>
          <w:rFonts w:hint="eastAsia"/>
        </w:rPr>
        <w:tab/>
        <w:t xml:space="preserve">429.  </w:t>
      </w:r>
      <w:r>
        <w:rPr>
          <w:rFonts w:hint="eastAsia"/>
        </w:rPr>
        <w:t>《高等教育法》第</w:t>
      </w:r>
      <w:r>
        <w:rPr>
          <w:rFonts w:hint="eastAsia"/>
        </w:rPr>
        <w:t>3</w:t>
      </w:r>
      <w:r>
        <w:rPr>
          <w:rFonts w:hint="eastAsia"/>
        </w:rPr>
        <w:t>条规定，高等教育机构以《克罗地亚共和国宪法》和该法规定的学术自治和自由为原则。</w:t>
      </w:r>
    </w:p>
    <w:p w:rsidR="00000000" w:rsidRDefault="00000000">
      <w:pPr>
        <w:rPr>
          <w:rFonts w:hint="eastAsia"/>
        </w:rPr>
      </w:pPr>
      <w:r>
        <w:rPr>
          <w:rFonts w:hint="eastAsia"/>
        </w:rPr>
        <w:tab/>
        <w:t xml:space="preserve">430.  </w:t>
      </w:r>
      <w:r>
        <w:rPr>
          <w:rFonts w:hint="eastAsia"/>
        </w:rPr>
        <w:t>学术自由特别表现在：科学、艺术和工艺研究和创造的自由；制定教育科学、艺术和专业课程；选举讲师和主任；就招生标准作出决定；确立学生入学要求；制定课程规则；确定内部组织。</w:t>
      </w:r>
    </w:p>
    <w:p w:rsidR="00000000" w:rsidRDefault="00000000">
      <w:pPr>
        <w:rPr>
          <w:rFonts w:hint="eastAsia"/>
        </w:rPr>
      </w:pPr>
      <w:r>
        <w:rPr>
          <w:rFonts w:hint="eastAsia"/>
        </w:rPr>
        <w:tab/>
        <w:t xml:space="preserve">431.  </w:t>
      </w:r>
      <w:r>
        <w:t>CARNet</w:t>
      </w:r>
      <w:r>
        <w:rPr>
          <w:rFonts w:hint="eastAsia"/>
        </w:rPr>
        <w:t>(</w:t>
      </w:r>
      <w:r>
        <w:rPr>
          <w:rFonts w:hint="eastAsia"/>
        </w:rPr>
        <w:t>克罗地亚学术研究网</w:t>
      </w:r>
      <w:r>
        <w:rPr>
          <w:rFonts w:hint="eastAsia"/>
        </w:rPr>
        <w:t>)</w:t>
      </w:r>
      <w:r>
        <w:rPr>
          <w:rFonts w:hint="eastAsia"/>
        </w:rPr>
        <w:t>是因特网的一部分，它是由多项协议组成的网络，对促进科学进步方面的信息传播作出巨大贡献。目前它包括了一半以上的科学界。到</w:t>
      </w:r>
      <w:r>
        <w:rPr>
          <w:rFonts w:hint="eastAsia"/>
        </w:rPr>
        <w:t>1995</w:t>
      </w:r>
      <w:r>
        <w:rPr>
          <w:rFonts w:hint="eastAsia"/>
        </w:rPr>
        <w:t>年底，所有学术和科学机构都与</w:t>
      </w:r>
      <w:r>
        <w:t>CARNet</w:t>
      </w:r>
      <w:r>
        <w:rPr>
          <w:rFonts w:hint="eastAsia"/>
        </w:rPr>
        <w:t>建立了关系。这意味着每一个机构至少有一个</w:t>
      </w:r>
      <w:r>
        <w:rPr>
          <w:rFonts w:hint="eastAsia"/>
        </w:rPr>
        <w:t>UNIX</w:t>
      </w:r>
      <w:r>
        <w:rPr>
          <w:rFonts w:hint="eastAsia"/>
        </w:rPr>
        <w:t>服务器，该服务器的目标是储存和公布</w:t>
      </w:r>
      <w:r>
        <w:rPr>
          <w:rFonts w:hint="eastAsia"/>
        </w:rPr>
        <w:t>(</w:t>
      </w:r>
      <w:r>
        <w:rPr>
          <w:rFonts w:hint="eastAsia"/>
        </w:rPr>
        <w:t>在因特网上</w:t>
      </w:r>
      <w:r>
        <w:rPr>
          <w:rFonts w:hint="eastAsia"/>
        </w:rPr>
        <w:t>)</w:t>
      </w:r>
      <w:r>
        <w:rPr>
          <w:rFonts w:hint="eastAsia"/>
        </w:rPr>
        <w:t>关于该机构的一般性科学数据。</w:t>
      </w:r>
      <w:r>
        <w:t>CARNet</w:t>
      </w:r>
      <w:r>
        <w:rPr>
          <w:rFonts w:hint="eastAsia"/>
        </w:rPr>
        <w:t>还设有科学家</w:t>
      </w:r>
      <w:r>
        <w:rPr>
          <w:rFonts w:hint="eastAsia"/>
        </w:rPr>
        <w:t>(</w:t>
      </w:r>
      <w:r>
        <w:rPr>
          <w:rFonts w:hint="eastAsia"/>
        </w:rPr>
        <w:t>和学生</w:t>
      </w:r>
      <w:r>
        <w:rPr>
          <w:rFonts w:hint="eastAsia"/>
        </w:rPr>
        <w:t>)</w:t>
      </w:r>
      <w:r>
        <w:rPr>
          <w:rFonts w:hint="eastAsia"/>
        </w:rPr>
        <w:t>的网间联接程序，使他们能够进入全世界的信息宝库。</w:t>
      </w:r>
      <w:r>
        <w:t>CARNet</w:t>
      </w:r>
      <w:r>
        <w:rPr>
          <w:rFonts w:hint="eastAsia"/>
        </w:rPr>
        <w:t>是许多数据库和信息服务的基础设施。最重要的是科学信息系统，它包括了各领域专题中心，这些中心收集科学家和学者的论文和其他资料、文献目录以及完整的论文档案。</w:t>
      </w:r>
    </w:p>
    <w:p w:rsidR="00000000" w:rsidRDefault="00000000">
      <w:pPr>
        <w:rPr>
          <w:rFonts w:hint="eastAsia"/>
        </w:rPr>
      </w:pPr>
      <w:r>
        <w:rPr>
          <w:rFonts w:hint="eastAsia"/>
        </w:rPr>
        <w:tab/>
        <w:t xml:space="preserve">432.  </w:t>
      </w:r>
      <w:r>
        <w:rPr>
          <w:rFonts w:hint="eastAsia"/>
        </w:rPr>
        <w:t>工业化和技术发展的新趋势可能危及人类的自然遗产以及健康和洁净的环境，关于这个问题，从法律角度看，保护所有权的文书似乎限制在保护濒临威胁的人和公共物资方面的法律效力。尽管如此，民法保护领域的上述不利之处可以通过在《环境保护法》和其他规章制定预防保护制度予以解决。</w:t>
      </w:r>
    </w:p>
    <w:p w:rsidR="00000000" w:rsidRDefault="00000000">
      <w:pPr>
        <w:rPr>
          <w:rFonts w:hint="eastAsia"/>
        </w:rPr>
      </w:pPr>
      <w:r>
        <w:rPr>
          <w:rFonts w:hint="eastAsia"/>
        </w:rPr>
        <w:tab/>
        <w:t xml:space="preserve">433.  </w:t>
      </w:r>
      <w:r>
        <w:rPr>
          <w:rFonts w:hint="eastAsia"/>
        </w:rPr>
        <w:t>科学和技术部作为主管机构，在科学、技术、高等教育和信息学领域签订国际协议时，规定保护知识产权和版权，以根据《世界版权公约》和《保护文学艺术作品伯尔尼公约》等文书所载的国际标准保证实行最低的保护标准。如果是执行相互同意的合作协议或者是签署的协议问题，则要取决于各合作机构是否能按它们认为适当的办法处理这些问题。</w:t>
      </w:r>
    </w:p>
    <w:p w:rsidR="00000000" w:rsidRDefault="00000000">
      <w:pPr>
        <w:rPr>
          <w:rFonts w:hint="eastAsia"/>
        </w:rPr>
      </w:pPr>
      <w:r>
        <w:rPr>
          <w:rFonts w:hint="eastAsia"/>
        </w:rPr>
        <w:tab/>
        <w:t xml:space="preserve">434.  </w:t>
      </w:r>
      <w:r>
        <w:rPr>
          <w:rFonts w:hint="eastAsia"/>
        </w:rPr>
        <w:t>《工业财产法》和《版权法》是全面落实科学活动成果方面的主要法律文书。这些文书载有保护知识产权和版权方面的规定。</w:t>
      </w:r>
    </w:p>
    <w:p w:rsidR="00000000" w:rsidRDefault="00000000">
      <w:pPr>
        <w:rPr>
          <w:rFonts w:hint="eastAsia"/>
        </w:rPr>
      </w:pPr>
      <w:r>
        <w:rPr>
          <w:rFonts w:hint="eastAsia"/>
        </w:rPr>
        <w:tab/>
        <w:t xml:space="preserve">435.  </w:t>
      </w:r>
      <w:r>
        <w:rPr>
          <w:rFonts w:hint="eastAsia"/>
        </w:rPr>
        <w:t>关于保护、发展和传播科学的问题，应该指出，</w:t>
      </w:r>
      <w:r>
        <w:rPr>
          <w:rFonts w:hint="eastAsia"/>
        </w:rPr>
        <w:t>1991</w:t>
      </w:r>
      <w:r>
        <w:rPr>
          <w:rFonts w:hint="eastAsia"/>
        </w:rPr>
        <w:t>年至</w:t>
      </w:r>
      <w:r>
        <w:rPr>
          <w:rFonts w:hint="eastAsia"/>
        </w:rPr>
        <w:t>1996</w:t>
      </w:r>
      <w:r>
        <w:rPr>
          <w:rFonts w:hint="eastAsia"/>
        </w:rPr>
        <w:t>年克罗地亚政治经济的变革为根据新建立的市场经济、私有化进程和所有权条件落实新的科学政策铺平了道路。《克罗地亚共和国宪章》第</w:t>
      </w:r>
      <w:r>
        <w:rPr>
          <w:rFonts w:hint="eastAsia"/>
        </w:rPr>
        <w:t>68</w:t>
      </w:r>
      <w:r>
        <w:rPr>
          <w:rFonts w:hint="eastAsia"/>
        </w:rPr>
        <w:t>条保证科学、文化和艺术活动自由，鼓励发展科学、文化和艺术，作为民族精神标准保护这些价值观念。</w:t>
      </w:r>
    </w:p>
    <w:p w:rsidR="00000000" w:rsidRDefault="00000000">
      <w:pPr>
        <w:rPr>
          <w:rFonts w:hint="eastAsia"/>
        </w:rPr>
      </w:pPr>
      <w:r>
        <w:rPr>
          <w:rFonts w:hint="eastAsia"/>
        </w:rPr>
        <w:tab/>
        <w:t xml:space="preserve">436.  </w:t>
      </w:r>
      <w:r>
        <w:rPr>
          <w:rFonts w:hint="eastAsia"/>
        </w:rPr>
        <w:t>《科学研究活动法》和《国家科学研究方案》</w:t>
      </w:r>
      <w:r>
        <w:rPr>
          <w:rFonts w:hint="eastAsia"/>
        </w:rPr>
        <w:t>(NSRP)</w:t>
      </w:r>
      <w:r>
        <w:rPr>
          <w:rFonts w:hint="eastAsia"/>
        </w:rPr>
        <w:t>规定了改组科学技术组织和管理系统的法律框架。</w:t>
      </w:r>
      <w:r>
        <w:rPr>
          <w:rFonts w:hint="eastAsia"/>
        </w:rPr>
        <w:t>NSRP</w:t>
      </w:r>
      <w:r>
        <w:rPr>
          <w:rFonts w:hint="eastAsia"/>
        </w:rPr>
        <w:t>是科学技术政策方面的第一份战略文书。它总括了当前的科学状况，确定了长期的科学技术政策方面的一般性办法和准则，并在落实这项政策方面预示今后的步骤。</w:t>
      </w:r>
    </w:p>
    <w:p w:rsidR="00000000" w:rsidRDefault="00000000">
      <w:pPr>
        <w:rPr>
          <w:rFonts w:hint="eastAsia"/>
        </w:rPr>
      </w:pPr>
      <w:r>
        <w:rPr>
          <w:rFonts w:hint="eastAsia"/>
        </w:rPr>
        <w:tab/>
        <w:t xml:space="preserve">437.  </w:t>
      </w:r>
      <w:r>
        <w:rPr>
          <w:rFonts w:hint="eastAsia"/>
        </w:rPr>
        <w:t>科技政策的主要原则如下：</w:t>
      </w:r>
    </w:p>
    <w:p w:rsidR="00000000" w:rsidRDefault="00000000">
      <w:pPr>
        <w:numPr>
          <w:ilvl w:val="0"/>
          <w:numId w:val="157"/>
        </w:numPr>
        <w:rPr>
          <w:rFonts w:hint="eastAsia"/>
        </w:rPr>
      </w:pPr>
      <w:r>
        <w:rPr>
          <w:rFonts w:hint="eastAsia"/>
        </w:rPr>
        <w:t>使所有研究能力参与当前改组和振兴经济以及培养企业精神的进程；</w:t>
      </w:r>
    </w:p>
    <w:p w:rsidR="00000000" w:rsidRDefault="00000000">
      <w:pPr>
        <w:numPr>
          <w:ilvl w:val="0"/>
          <w:numId w:val="157"/>
        </w:numPr>
        <w:rPr>
          <w:rFonts w:hint="eastAsia"/>
        </w:rPr>
      </w:pPr>
      <w:r>
        <w:rPr>
          <w:rFonts w:hint="eastAsia"/>
        </w:rPr>
        <w:t>科学、技术和工业的相互依赖对经济增长和社会福利必不可少。政府支持的研究必须对工业的努力作补充，它包括竞争前的一般性研究，并必须采取一种适当的供资制度鼓励这种办法；</w:t>
      </w:r>
    </w:p>
    <w:p w:rsidR="00000000" w:rsidRDefault="00000000">
      <w:pPr>
        <w:numPr>
          <w:ilvl w:val="0"/>
          <w:numId w:val="157"/>
        </w:numPr>
        <w:rPr>
          <w:rFonts w:hint="eastAsia"/>
        </w:rPr>
      </w:pPr>
      <w:r>
        <w:rPr>
          <w:rFonts w:hint="eastAsia"/>
        </w:rPr>
        <w:t>应鼓励所有企业利用研究成果，建立新的企业地位，以应用新技术，吸引新投资，特别是外国投资；</w:t>
      </w:r>
    </w:p>
    <w:p w:rsidR="00000000" w:rsidRDefault="00000000">
      <w:pPr>
        <w:numPr>
          <w:ilvl w:val="0"/>
          <w:numId w:val="157"/>
        </w:numPr>
        <w:rPr>
          <w:rFonts w:hint="eastAsia"/>
        </w:rPr>
      </w:pPr>
      <w:r>
        <w:rPr>
          <w:rFonts w:hint="eastAsia"/>
        </w:rPr>
        <w:t>建立市场研究和其他机制，以加紧研究机构与企业部门，特别是工业企业之间的合作。</w:t>
      </w:r>
    </w:p>
    <w:p w:rsidR="00000000" w:rsidRDefault="00000000">
      <w:pPr>
        <w:rPr>
          <w:rFonts w:hint="eastAsia"/>
        </w:rPr>
      </w:pPr>
      <w:r>
        <w:rPr>
          <w:rFonts w:hint="eastAsia"/>
        </w:rPr>
        <w:tab/>
        <w:t xml:space="preserve">438.  </w:t>
      </w:r>
      <w:r>
        <w:t>CARNet</w:t>
      </w:r>
      <w:r>
        <w:rPr>
          <w:rFonts w:hint="eastAsia"/>
        </w:rPr>
        <w:t>不仅允许自由地交流科技信息，而且还拥有</w:t>
      </w:r>
      <w:r>
        <w:rPr>
          <w:rFonts w:hint="eastAsia"/>
        </w:rPr>
        <w:t>1995</w:t>
      </w:r>
      <w:r>
        <w:rPr>
          <w:rFonts w:hint="eastAsia"/>
        </w:rPr>
        <w:t>年在克罗地亚登记的约</w:t>
      </w:r>
      <w:r>
        <w:rPr>
          <w:rFonts w:hint="eastAsia"/>
        </w:rPr>
        <w:t>2,000</w:t>
      </w:r>
      <w:r>
        <w:rPr>
          <w:rFonts w:hint="eastAsia"/>
        </w:rPr>
        <w:t>家图书馆、其中</w:t>
      </w:r>
      <w:r>
        <w:rPr>
          <w:rFonts w:hint="eastAsia"/>
        </w:rPr>
        <w:t>160</w:t>
      </w:r>
      <w:r>
        <w:rPr>
          <w:rFonts w:hint="eastAsia"/>
        </w:rPr>
        <w:t>家被列为科学图书馆、</w:t>
      </w:r>
      <w:r>
        <w:rPr>
          <w:rFonts w:hint="eastAsia"/>
        </w:rPr>
        <w:t>4</w:t>
      </w:r>
      <w:r>
        <w:rPr>
          <w:rFonts w:hint="eastAsia"/>
        </w:rPr>
        <w:t>家是大学图书馆。拥有</w:t>
      </w:r>
      <w:r>
        <w:rPr>
          <w:rFonts w:hint="eastAsia"/>
        </w:rPr>
        <w:t>91</w:t>
      </w:r>
      <w:r>
        <w:rPr>
          <w:rFonts w:hint="eastAsia"/>
        </w:rPr>
        <w:t>家大学院系图书馆、</w:t>
      </w:r>
      <w:r>
        <w:rPr>
          <w:rFonts w:hint="eastAsia"/>
        </w:rPr>
        <w:t>60</w:t>
      </w:r>
      <w:r>
        <w:rPr>
          <w:rFonts w:hint="eastAsia"/>
        </w:rPr>
        <w:t>家研究所附属图书馆和一家中心图书馆</w:t>
      </w:r>
      <w:r>
        <w:rPr>
          <w:rFonts w:hint="eastAsia"/>
        </w:rPr>
        <w:t>(</w:t>
      </w:r>
      <w:r>
        <w:rPr>
          <w:rFonts w:hint="eastAsia"/>
        </w:rPr>
        <w:t>附属于克罗地亚科学和艺术院</w:t>
      </w:r>
      <w:r>
        <w:rPr>
          <w:rFonts w:hint="eastAsia"/>
        </w:rPr>
        <w:t>)</w:t>
      </w:r>
      <w:r>
        <w:rPr>
          <w:rFonts w:hint="eastAsia"/>
        </w:rPr>
        <w:t>。萨格勒布国家和大学图书馆在克罗地亚图书馆系统中起关键作用。</w:t>
      </w:r>
    </w:p>
    <w:p w:rsidR="00000000" w:rsidRDefault="00000000">
      <w:pPr>
        <w:rPr>
          <w:rFonts w:hint="eastAsia"/>
        </w:rPr>
      </w:pPr>
      <w:r>
        <w:rPr>
          <w:rFonts w:hint="eastAsia"/>
        </w:rPr>
        <w:tab/>
        <w:t xml:space="preserve">439.  </w:t>
      </w:r>
      <w:r>
        <w:rPr>
          <w:rFonts w:hint="eastAsia"/>
        </w:rPr>
        <w:t>对科技信息交流的自由没有法律限制。目前的科学组织以及现有的法律规章使得合作得以进行，其主要目标是，使研究团体尽可能自由地参加国际科学合作。主要障碍是，国际政治环境、监测和协调国际合作的制度发展不全、促进克罗地亚对这种合作增加投资的资金缺乏。</w:t>
      </w:r>
    </w:p>
    <w:p w:rsidR="00000000" w:rsidRDefault="00000000">
      <w:pPr>
        <w:rPr>
          <w:rFonts w:hint="eastAsia"/>
        </w:rPr>
      </w:pPr>
      <w:r>
        <w:rPr>
          <w:rFonts w:hint="eastAsia"/>
        </w:rPr>
        <w:tab/>
        <w:t xml:space="preserve">440.  </w:t>
      </w:r>
      <w:r>
        <w:rPr>
          <w:rFonts w:hint="eastAsia"/>
        </w:rPr>
        <w:t>监测国际合作的制度虽然发展不充分，但它是以《监测科学、文化、教育、技术和与外国技术合作法》为基础的。它载有国际合作程度方面的信息</w:t>
      </w:r>
      <w:r>
        <w:rPr>
          <w:rFonts w:hint="eastAsia"/>
        </w:rPr>
        <w:t>(</w:t>
      </w:r>
      <w:r>
        <w:rPr>
          <w:rFonts w:hint="eastAsia"/>
        </w:rPr>
        <w:t>访问、参加会议、研讨会、讨论会的次数</w:t>
      </w:r>
      <w:r>
        <w:rPr>
          <w:rFonts w:hint="eastAsia"/>
        </w:rPr>
        <w:t>)</w:t>
      </w:r>
      <w:r>
        <w:rPr>
          <w:rFonts w:hint="eastAsia"/>
        </w:rPr>
        <w:t>。它对即将来临的财政期的预算规划非常重要。</w:t>
      </w:r>
    </w:p>
    <w:p w:rsidR="00000000" w:rsidRDefault="00000000">
      <w:pPr>
        <w:rPr>
          <w:rFonts w:hint="eastAsia"/>
        </w:rPr>
      </w:pPr>
      <w:r>
        <w:rPr>
          <w:rFonts w:hint="eastAsia"/>
        </w:rPr>
        <w:tab/>
        <w:t xml:space="preserve">441.  </w:t>
      </w:r>
      <w:r>
        <w:rPr>
          <w:rFonts w:hint="eastAsia"/>
        </w:rPr>
        <w:t>科学和技术部是制定和发展国家科学和技术政策的主要机构。它管理对鼓励和发展国际合同和合作所必要的国家预算资源的分配工作。</w:t>
      </w:r>
    </w:p>
    <w:p w:rsidR="00000000" w:rsidRDefault="00000000">
      <w:pPr>
        <w:rPr>
          <w:rFonts w:hint="eastAsia"/>
        </w:rPr>
      </w:pPr>
      <w:r>
        <w:rPr>
          <w:rFonts w:hint="eastAsia"/>
        </w:rPr>
        <w:tab/>
        <w:t>442.  1991</w:t>
      </w:r>
      <w:r>
        <w:rPr>
          <w:rFonts w:hint="eastAsia"/>
        </w:rPr>
        <w:t>年，科学和技术部实行项目供资，停止当时采取的不分项目，不分研究人员即研究本身的质量一次性拨款的按机构拨款的办法。其主要目的是，减少项目数量，重新分配公共资金，鼓励高质量的研究以及科学与工业的合作。根据</w:t>
      </w:r>
      <w:r>
        <w:rPr>
          <w:rFonts w:hint="eastAsia"/>
        </w:rPr>
        <w:t xml:space="preserve">NSRP, </w:t>
      </w:r>
      <w:r>
        <w:rPr>
          <w:rFonts w:hint="eastAsia"/>
        </w:rPr>
        <w:t>这些项目将得到资金总额的</w:t>
      </w:r>
      <w:r>
        <w:rPr>
          <w:rFonts w:hint="eastAsia"/>
        </w:rPr>
        <w:t>38%</w:t>
      </w:r>
      <w:r>
        <w:rPr>
          <w:rFonts w:hint="eastAsia"/>
        </w:rPr>
        <w:t>，其余经核准的项目将得到</w:t>
      </w:r>
      <w:r>
        <w:rPr>
          <w:rFonts w:hint="eastAsia"/>
        </w:rPr>
        <w:t>20%</w:t>
      </w:r>
      <w:r>
        <w:rPr>
          <w:rFonts w:hint="eastAsia"/>
        </w:rPr>
        <w:t>。该方案还预设了一项青年研究人员项目奖</w:t>
      </w:r>
      <w:r>
        <w:rPr>
          <w:rFonts w:hint="eastAsia"/>
        </w:rPr>
        <w:t>(5%)</w:t>
      </w:r>
      <w:r>
        <w:rPr>
          <w:rFonts w:hint="eastAsia"/>
        </w:rPr>
        <w:t>，这在科学政策中是全新的一类。项目奖的主要目的是防止人才流失，在学术环境中开展研究竞争。</w:t>
      </w:r>
    </w:p>
    <w:p w:rsidR="00000000" w:rsidRDefault="00000000">
      <w:pPr>
        <w:rPr>
          <w:rFonts w:hint="eastAsia"/>
        </w:rPr>
      </w:pPr>
      <w:r>
        <w:rPr>
          <w:rFonts w:hint="eastAsia"/>
        </w:rPr>
        <w:tab/>
        <w:t xml:space="preserve">443.  </w:t>
      </w:r>
      <w:r>
        <w:rPr>
          <w:rFonts w:hint="eastAsia"/>
        </w:rPr>
        <w:t>在目前为止，克罗地亚共和国签署了</w:t>
      </w:r>
      <w:r>
        <w:rPr>
          <w:rFonts w:hint="eastAsia"/>
        </w:rPr>
        <w:t>21</w:t>
      </w:r>
      <w:r>
        <w:rPr>
          <w:rFonts w:hint="eastAsia"/>
        </w:rPr>
        <w:t>项科学、技术和高等教育等领域的双边合作协议，还有约</w:t>
      </w:r>
      <w:r>
        <w:rPr>
          <w:rFonts w:hint="eastAsia"/>
        </w:rPr>
        <w:t>26</w:t>
      </w:r>
      <w:r>
        <w:rPr>
          <w:rFonts w:hint="eastAsia"/>
        </w:rPr>
        <w:t>项协议将在适当的时候签署。值得一提的是，已签署的双边协议几乎都对促进科学合作作出了巨大贡献。它们还使科学家得以参加一些国际科学会议、研讨会和讨论会。</w:t>
      </w:r>
    </w:p>
    <w:p w:rsidR="00000000" w:rsidRDefault="00000000">
      <w:pPr>
        <w:pStyle w:val="Heading2"/>
        <w:rPr>
          <w:rFonts w:hint="eastAsia"/>
          <w:kern w:val="0"/>
        </w:rPr>
      </w:pPr>
      <w:r>
        <w:rPr>
          <w:kern w:val="0"/>
        </w:rPr>
        <w:br w:type="page"/>
      </w:r>
      <w:r>
        <w:rPr>
          <w:rFonts w:hint="eastAsia"/>
          <w:kern w:val="0"/>
        </w:rPr>
        <w:t>附</w:t>
      </w:r>
      <w:r>
        <w:rPr>
          <w:rFonts w:hint="eastAsia"/>
          <w:kern w:val="0"/>
        </w:rPr>
        <w:t xml:space="preserve">  </w:t>
      </w:r>
      <w:r>
        <w:rPr>
          <w:rFonts w:hint="eastAsia"/>
          <w:kern w:val="0"/>
        </w:rPr>
        <w:t>件</w:t>
      </w:r>
    </w:p>
    <w:p w:rsidR="00000000" w:rsidRDefault="00000000">
      <w:pPr>
        <w:pStyle w:val="Heading2"/>
        <w:rPr>
          <w:rFonts w:hint="eastAsia"/>
          <w:kern w:val="0"/>
        </w:rPr>
      </w:pPr>
      <w:r>
        <w:rPr>
          <w:rFonts w:hint="eastAsia"/>
          <w:kern w:val="0"/>
        </w:rPr>
        <w:t>第</w:t>
      </w:r>
      <w:r>
        <w:rPr>
          <w:rFonts w:hint="eastAsia"/>
          <w:kern w:val="0"/>
        </w:rPr>
        <w:t>9</w:t>
      </w:r>
      <w:r>
        <w:rPr>
          <w:rFonts w:hint="eastAsia"/>
          <w:kern w:val="0"/>
        </w:rPr>
        <w:t>条：克罗地亚的养恤金保险制度</w:t>
      </w:r>
    </w:p>
    <w:p w:rsidR="00000000" w:rsidRDefault="00000000">
      <w:pPr>
        <w:pStyle w:val="Heading2"/>
        <w:rPr>
          <w:rFonts w:hint="eastAsia"/>
          <w:kern w:val="0"/>
        </w:rPr>
      </w:pPr>
      <w:r>
        <w:rPr>
          <w:rFonts w:hint="eastAsia"/>
          <w:kern w:val="0"/>
        </w:rPr>
        <w:t>概</w:t>
      </w:r>
      <w:r>
        <w:rPr>
          <w:rFonts w:hint="eastAsia"/>
          <w:kern w:val="0"/>
        </w:rPr>
        <w:t xml:space="preserve">  </w:t>
      </w:r>
      <w:r>
        <w:rPr>
          <w:rFonts w:hint="eastAsia"/>
          <w:kern w:val="0"/>
        </w:rPr>
        <w:t>要</w:t>
      </w:r>
    </w:p>
    <w:p w:rsidR="00000000" w:rsidRDefault="00000000">
      <w:pPr>
        <w:pStyle w:val="Heading3"/>
        <w:rPr>
          <w:rFonts w:hint="eastAsia"/>
          <w:kern w:val="0"/>
        </w:rPr>
      </w:pPr>
      <w:r>
        <w:rPr>
          <w:rFonts w:hint="eastAsia"/>
          <w:kern w:val="0"/>
          <w:u w:val="none"/>
        </w:rPr>
        <w:t xml:space="preserve">A.  </w:t>
      </w:r>
      <w:r>
        <w:rPr>
          <w:rFonts w:hint="eastAsia"/>
          <w:kern w:val="0"/>
        </w:rPr>
        <w:t>现行的一般性立法</w:t>
      </w:r>
    </w:p>
    <w:p w:rsidR="00000000" w:rsidRDefault="00000000">
      <w:pPr>
        <w:rPr>
          <w:rFonts w:hint="eastAsia"/>
        </w:rPr>
      </w:pPr>
      <w:r>
        <w:rPr>
          <w:rFonts w:hint="eastAsia"/>
        </w:rPr>
        <w:tab/>
        <w:t>1998</w:t>
      </w:r>
      <w:r>
        <w:rPr>
          <w:rFonts w:hint="eastAsia"/>
        </w:rPr>
        <w:t>年实施的《养恤金保险法案》从</w:t>
      </w:r>
      <w:r>
        <w:rPr>
          <w:rFonts w:hint="eastAsia"/>
        </w:rPr>
        <w:t>1999</w:t>
      </w:r>
      <w:r>
        <w:rPr>
          <w:rFonts w:hint="eastAsia"/>
        </w:rPr>
        <w:t>年</w:t>
      </w:r>
      <w:r>
        <w:rPr>
          <w:rFonts w:hint="eastAsia"/>
        </w:rPr>
        <w:t>1</w:t>
      </w:r>
      <w:r>
        <w:rPr>
          <w:rFonts w:hint="eastAsia"/>
        </w:rPr>
        <w:t>月</w:t>
      </w:r>
      <w:r>
        <w:rPr>
          <w:rFonts w:hint="eastAsia"/>
        </w:rPr>
        <w:t>1</w:t>
      </w:r>
      <w:r>
        <w:rPr>
          <w:rFonts w:hint="eastAsia"/>
        </w:rPr>
        <w:t>日起实施</w:t>
      </w:r>
      <w:r>
        <w:rPr>
          <w:rFonts w:hint="eastAsia"/>
        </w:rPr>
        <w:t>(</w:t>
      </w:r>
      <w:r>
        <w:rPr>
          <w:rFonts w:hint="eastAsia"/>
        </w:rPr>
        <w:t>代间支持制度</w:t>
      </w:r>
      <w:r>
        <w:rPr>
          <w:rFonts w:hint="eastAsia"/>
          <w:spacing w:val="-40"/>
          <w:sz w:val="22"/>
        </w:rPr>
        <w:t>——</w:t>
      </w:r>
      <w:r>
        <w:rPr>
          <w:sz w:val="22"/>
        </w:rPr>
        <w:t xml:space="preserve"> </w:t>
      </w:r>
      <w:r>
        <w:rPr>
          <w:rFonts w:hint="eastAsia"/>
        </w:rPr>
        <w:t>第一支柱</w:t>
      </w:r>
      <w:r>
        <w:rPr>
          <w:rFonts w:hint="eastAsia"/>
        </w:rPr>
        <w:t>)</w:t>
      </w:r>
      <w:r>
        <w:rPr>
          <w:rFonts w:hint="eastAsia"/>
        </w:rPr>
        <w:t>；</w:t>
      </w:r>
      <w:r>
        <w:rPr>
          <w:rFonts w:hint="eastAsia"/>
        </w:rPr>
        <w:t>1999</w:t>
      </w:r>
      <w:r>
        <w:rPr>
          <w:rFonts w:hint="eastAsia"/>
        </w:rPr>
        <w:t>年提出的《强制性和自愿养恤金法案》从</w:t>
      </w:r>
      <w:r>
        <w:rPr>
          <w:rFonts w:hint="eastAsia"/>
        </w:rPr>
        <w:t>2000</w:t>
      </w:r>
      <w:r>
        <w:rPr>
          <w:rFonts w:hint="eastAsia"/>
        </w:rPr>
        <w:t>年</w:t>
      </w:r>
      <w:r>
        <w:rPr>
          <w:rFonts w:hint="eastAsia"/>
        </w:rPr>
        <w:t>1</w:t>
      </w:r>
      <w:r>
        <w:rPr>
          <w:rFonts w:hint="eastAsia"/>
        </w:rPr>
        <w:t>月</w:t>
      </w:r>
      <w:r>
        <w:rPr>
          <w:rFonts w:hint="eastAsia"/>
        </w:rPr>
        <w:t>1</w:t>
      </w:r>
      <w:r>
        <w:rPr>
          <w:rFonts w:hint="eastAsia"/>
        </w:rPr>
        <w:t>日起实施</w:t>
      </w:r>
      <w:r>
        <w:rPr>
          <w:rFonts w:hint="eastAsia"/>
        </w:rPr>
        <w:t>(</w:t>
      </w:r>
      <w:r>
        <w:rPr>
          <w:rFonts w:hint="eastAsia"/>
        </w:rPr>
        <w:t>个人资本化制度，强制性的第二支柱和自愿性的第三支柱额外保险</w:t>
      </w:r>
      <w:r>
        <w:rPr>
          <w:rFonts w:hint="eastAsia"/>
        </w:rPr>
        <w:t>)</w:t>
      </w:r>
      <w:r>
        <w:rPr>
          <w:rFonts w:hint="eastAsia"/>
        </w:rPr>
        <w:t>。</w:t>
      </w:r>
    </w:p>
    <w:p w:rsidR="00000000" w:rsidRDefault="00000000">
      <w:pPr>
        <w:rPr>
          <w:rFonts w:hint="eastAsia"/>
        </w:rPr>
      </w:pPr>
      <w:r>
        <w:rPr>
          <w:rFonts w:hint="eastAsia"/>
        </w:rPr>
        <w:tab/>
      </w:r>
      <w:r>
        <w:rPr>
          <w:rFonts w:hint="eastAsia"/>
          <w:u w:val="single"/>
        </w:rPr>
        <w:t>方案类型</w:t>
      </w:r>
      <w:r>
        <w:rPr>
          <w:rFonts w:hint="eastAsia"/>
        </w:rPr>
        <w:t>：社会保险制度。</w:t>
      </w:r>
    </w:p>
    <w:p w:rsidR="00000000" w:rsidRDefault="00000000">
      <w:pPr>
        <w:rPr>
          <w:rFonts w:hint="eastAsia"/>
        </w:rPr>
      </w:pPr>
      <w:r>
        <w:rPr>
          <w:rFonts w:hint="eastAsia"/>
        </w:rPr>
        <w:tab/>
      </w:r>
      <w:r>
        <w:rPr>
          <w:rFonts w:hint="eastAsia"/>
        </w:rPr>
        <w:t>按</w:t>
      </w:r>
      <w:r>
        <w:rPr>
          <w:rFonts w:hint="eastAsia"/>
          <w:u w:val="single"/>
        </w:rPr>
        <w:t>1999</w:t>
      </w:r>
      <w:r>
        <w:rPr>
          <w:rFonts w:hint="eastAsia"/>
          <w:u w:val="single"/>
        </w:rPr>
        <w:t>年</w:t>
      </w:r>
      <w:r>
        <w:rPr>
          <w:rFonts w:hint="eastAsia"/>
          <w:u w:val="single"/>
        </w:rPr>
        <w:t>9</w:t>
      </w:r>
      <w:r>
        <w:rPr>
          <w:rFonts w:hint="eastAsia"/>
          <w:u w:val="single"/>
        </w:rPr>
        <w:t>月</w:t>
      </w:r>
      <w:r>
        <w:rPr>
          <w:rFonts w:hint="eastAsia"/>
        </w:rPr>
        <w:t>的资料</w:t>
      </w:r>
    </w:p>
    <w:p w:rsidR="00000000" w:rsidRDefault="00000000">
      <w:pPr>
        <w:rPr>
          <w:rFonts w:hint="eastAsia"/>
        </w:rPr>
      </w:pPr>
      <w:r>
        <w:rPr>
          <w:rFonts w:hint="eastAsia"/>
        </w:rPr>
        <w:tab/>
      </w:r>
      <w:r>
        <w:rPr>
          <w:rFonts w:hint="eastAsia"/>
          <w:u w:val="single"/>
        </w:rPr>
        <w:t>汇率</w:t>
      </w:r>
      <w:r>
        <w:rPr>
          <w:rFonts w:hint="eastAsia"/>
        </w:rPr>
        <w:t>：</w:t>
      </w:r>
      <w:r>
        <w:rPr>
          <w:rFonts w:hint="eastAsia"/>
        </w:rPr>
        <w:t>1</w:t>
      </w:r>
      <w:r>
        <w:rPr>
          <w:rFonts w:hint="eastAsia"/>
        </w:rPr>
        <w:t>美元等于</w:t>
      </w:r>
      <w:r>
        <w:rPr>
          <w:rFonts w:hint="eastAsia"/>
        </w:rPr>
        <w:t>7.1677</w:t>
      </w:r>
      <w:r>
        <w:rPr>
          <w:rFonts w:hint="eastAsia"/>
        </w:rPr>
        <w:t>库纳</w:t>
      </w:r>
      <w:r>
        <w:rPr>
          <w:rFonts w:hint="eastAsia"/>
        </w:rPr>
        <w:t>(</w:t>
      </w:r>
      <w:r>
        <w:rPr>
          <w:rFonts w:hint="eastAsia"/>
        </w:rPr>
        <w:t>克罗地亚库纳</w:t>
      </w:r>
      <w:r>
        <w:rPr>
          <w:rFonts w:hint="eastAsia"/>
        </w:rPr>
        <w:t>)</w:t>
      </w:r>
      <w:r>
        <w:rPr>
          <w:rFonts w:hint="eastAsia"/>
        </w:rPr>
        <w:t>。</w:t>
      </w:r>
    </w:p>
    <w:p w:rsidR="00000000" w:rsidRDefault="00000000">
      <w:pPr>
        <w:rPr>
          <w:rFonts w:hint="eastAsia"/>
        </w:rPr>
      </w:pPr>
      <w:r>
        <w:rPr>
          <w:rFonts w:hint="eastAsia"/>
        </w:rPr>
        <w:tab/>
      </w:r>
      <w:r>
        <w:rPr>
          <w:rFonts w:hint="eastAsia"/>
        </w:rPr>
        <w:t>《</w:t>
      </w:r>
      <w:r>
        <w:rPr>
          <w:rFonts w:hint="eastAsia"/>
          <w:u w:val="single"/>
        </w:rPr>
        <w:t>养恤金保险法案</w:t>
      </w:r>
      <w:r>
        <w:rPr>
          <w:rFonts w:hint="eastAsia"/>
        </w:rPr>
        <w:t>》</w:t>
      </w:r>
      <w:r>
        <w:rPr>
          <w:rFonts w:hint="eastAsia"/>
        </w:rPr>
        <w:t>(</w:t>
      </w:r>
      <w:r>
        <w:rPr>
          <w:rFonts w:hint="eastAsia"/>
        </w:rPr>
        <w:t>第</w:t>
      </w:r>
      <w:r>
        <w:rPr>
          <w:rFonts w:hint="eastAsia"/>
        </w:rPr>
        <w:t>102/98</w:t>
      </w:r>
      <w:r>
        <w:rPr>
          <w:rFonts w:hint="eastAsia"/>
        </w:rPr>
        <w:t>号“公报”</w:t>
      </w:r>
      <w:r>
        <w:rPr>
          <w:rFonts w:hint="eastAsia"/>
        </w:rPr>
        <w:t>)</w:t>
      </w:r>
      <w:r>
        <w:rPr>
          <w:rFonts w:hint="eastAsia"/>
        </w:rPr>
        <w:t>，于</w:t>
      </w:r>
      <w:r>
        <w:rPr>
          <w:rFonts w:hint="eastAsia"/>
        </w:rPr>
        <w:t>1998</w:t>
      </w:r>
      <w:r>
        <w:rPr>
          <w:rFonts w:hint="eastAsia"/>
        </w:rPr>
        <w:t>年</w:t>
      </w:r>
      <w:r>
        <w:rPr>
          <w:rFonts w:hint="eastAsia"/>
        </w:rPr>
        <w:t>7</w:t>
      </w:r>
      <w:r>
        <w:rPr>
          <w:rFonts w:hint="eastAsia"/>
        </w:rPr>
        <w:t>月通过，</w:t>
      </w:r>
      <w:r>
        <w:rPr>
          <w:rFonts w:hint="eastAsia"/>
        </w:rPr>
        <w:t>1998</w:t>
      </w:r>
      <w:r>
        <w:rPr>
          <w:rFonts w:hint="eastAsia"/>
        </w:rPr>
        <w:t>年</w:t>
      </w:r>
      <w:r>
        <w:rPr>
          <w:rFonts w:hint="eastAsia"/>
        </w:rPr>
        <w:t>8</w:t>
      </w:r>
      <w:r>
        <w:rPr>
          <w:rFonts w:hint="eastAsia"/>
        </w:rPr>
        <w:t>月生效，从</w:t>
      </w:r>
      <w:r>
        <w:rPr>
          <w:rFonts w:hint="eastAsia"/>
        </w:rPr>
        <w:t>1999</w:t>
      </w:r>
      <w:r>
        <w:rPr>
          <w:rFonts w:hint="eastAsia"/>
        </w:rPr>
        <w:t>年</w:t>
      </w:r>
      <w:r>
        <w:rPr>
          <w:rFonts w:hint="eastAsia"/>
        </w:rPr>
        <w:t>1</w:t>
      </w:r>
      <w:r>
        <w:rPr>
          <w:rFonts w:hint="eastAsia"/>
        </w:rPr>
        <w:t>月</w:t>
      </w:r>
      <w:r>
        <w:rPr>
          <w:rFonts w:hint="eastAsia"/>
        </w:rPr>
        <w:t>1</w:t>
      </w:r>
      <w:r>
        <w:rPr>
          <w:rFonts w:hint="eastAsia"/>
        </w:rPr>
        <w:t>日起实施，它规定了第一支柱</w:t>
      </w:r>
      <w:r>
        <w:rPr>
          <w:rFonts w:hint="eastAsia"/>
        </w:rPr>
        <w:t>(</w:t>
      </w:r>
      <w:r>
        <w:rPr>
          <w:rFonts w:hint="eastAsia"/>
        </w:rPr>
        <w:t>代间支持</w:t>
      </w:r>
      <w:r>
        <w:rPr>
          <w:rFonts w:hint="eastAsia"/>
        </w:rPr>
        <w:t>)</w:t>
      </w:r>
      <w:r>
        <w:rPr>
          <w:rFonts w:hint="eastAsia"/>
        </w:rPr>
        <w:t>强制性普通养恤金保险。第二支柱额外强制性保险和第三支柱保险方面的立法于</w:t>
      </w:r>
      <w:r>
        <w:rPr>
          <w:rFonts w:hint="eastAsia"/>
        </w:rPr>
        <w:t>1999</w:t>
      </w:r>
      <w:r>
        <w:rPr>
          <w:rFonts w:hint="eastAsia"/>
        </w:rPr>
        <w:t>年提出，</w:t>
      </w:r>
      <w:r>
        <w:rPr>
          <w:rFonts w:hint="eastAsia"/>
        </w:rPr>
        <w:t>2000</w:t>
      </w:r>
      <w:r>
        <w:rPr>
          <w:rFonts w:hint="eastAsia"/>
        </w:rPr>
        <w:t>年</w:t>
      </w:r>
      <w:r>
        <w:rPr>
          <w:rFonts w:hint="eastAsia"/>
        </w:rPr>
        <w:t>7</w:t>
      </w:r>
      <w:r>
        <w:rPr>
          <w:rFonts w:hint="eastAsia"/>
        </w:rPr>
        <w:t>月</w:t>
      </w:r>
      <w:r>
        <w:rPr>
          <w:rFonts w:hint="eastAsia"/>
        </w:rPr>
        <w:t>1</w:t>
      </w:r>
      <w:r>
        <w:rPr>
          <w:rFonts w:hint="eastAsia"/>
        </w:rPr>
        <w:t>日起按《</w:t>
      </w:r>
      <w:r>
        <w:rPr>
          <w:rFonts w:hint="eastAsia"/>
          <w:u w:val="single"/>
        </w:rPr>
        <w:t>强制性和自愿养恤金法案</w:t>
      </w:r>
      <w:r>
        <w:rPr>
          <w:rFonts w:hint="eastAsia"/>
        </w:rPr>
        <w:t>》</w:t>
      </w:r>
      <w:r>
        <w:rPr>
          <w:rFonts w:hint="eastAsia"/>
        </w:rPr>
        <w:t>(</w:t>
      </w:r>
      <w:r>
        <w:rPr>
          <w:rFonts w:hint="eastAsia"/>
        </w:rPr>
        <w:t>第</w:t>
      </w:r>
      <w:r>
        <w:rPr>
          <w:rFonts w:hint="eastAsia"/>
        </w:rPr>
        <w:t>49/99</w:t>
      </w:r>
      <w:r>
        <w:rPr>
          <w:rFonts w:hint="eastAsia"/>
        </w:rPr>
        <w:t>号“公报”</w:t>
      </w:r>
      <w:r>
        <w:rPr>
          <w:rFonts w:hint="eastAsia"/>
        </w:rPr>
        <w:t>)</w:t>
      </w:r>
      <w:r>
        <w:rPr>
          <w:rFonts w:hint="eastAsia"/>
        </w:rPr>
        <w:t>实施。该法案规定了个人的范围、负责实施保险的机构以及为额外的强制性和自愿保险融资的途径；它对福利未作规定</w:t>
      </w:r>
      <w:r>
        <w:rPr>
          <w:rFonts w:hint="eastAsia"/>
          <w:spacing w:val="-40"/>
          <w:sz w:val="22"/>
        </w:rPr>
        <w:t>——</w:t>
      </w:r>
      <w:r>
        <w:rPr>
          <w:sz w:val="22"/>
        </w:rPr>
        <w:t xml:space="preserve"> </w:t>
      </w:r>
      <w:r>
        <w:rPr>
          <w:rFonts w:hint="eastAsia"/>
        </w:rPr>
        <w:t>这方面的规定正在制定，将在以后提出。《强制性和自愿养恤金法案》规定，被保险人的类别与《养恤金保险法案》规定的相同，条件是，他们在实施《强制性和自愿养恤金法案》开始时在</w:t>
      </w:r>
      <w:r>
        <w:rPr>
          <w:rFonts w:hint="eastAsia"/>
        </w:rPr>
        <w:t>40</w:t>
      </w:r>
      <w:r>
        <w:rPr>
          <w:rFonts w:hint="eastAsia"/>
        </w:rPr>
        <w:t>岁以下。</w:t>
      </w:r>
      <w:r>
        <w:rPr>
          <w:rFonts w:hint="eastAsia"/>
        </w:rPr>
        <w:t>40-50</w:t>
      </w:r>
      <w:r>
        <w:rPr>
          <w:rFonts w:hint="eastAsia"/>
        </w:rPr>
        <w:t>岁的人可以选择强制性额外老年保险。额外强制性保险是为老年个人储蓄而设立的，因此它意味着从</w:t>
      </w:r>
      <w:r>
        <w:rPr>
          <w:rFonts w:hint="eastAsia"/>
        </w:rPr>
        <w:t>2000</w:t>
      </w:r>
      <w:r>
        <w:rPr>
          <w:rFonts w:hint="eastAsia"/>
        </w:rPr>
        <w:t>年</w:t>
      </w:r>
      <w:r>
        <w:rPr>
          <w:rFonts w:hint="eastAsia"/>
        </w:rPr>
        <w:t>7</w:t>
      </w:r>
      <w:r>
        <w:rPr>
          <w:rFonts w:hint="eastAsia"/>
        </w:rPr>
        <w:t>月</w:t>
      </w:r>
      <w:r>
        <w:rPr>
          <w:rFonts w:hint="eastAsia"/>
        </w:rPr>
        <w:t>1</w:t>
      </w:r>
      <w:r>
        <w:rPr>
          <w:rFonts w:hint="eastAsia"/>
        </w:rPr>
        <w:t>日起将在约</w:t>
      </w:r>
      <w:r>
        <w:rPr>
          <w:rFonts w:hint="eastAsia"/>
        </w:rPr>
        <w:t>15-20</w:t>
      </w:r>
      <w:r>
        <w:rPr>
          <w:rFonts w:hint="eastAsia"/>
        </w:rPr>
        <w:t>年后发布第一次福利。额外保险以付到个人帐户上的交款为基础，如果根据《养恤金保险法案》第一支柱，被保险人可以开始享受残疾养恤金，或者被保险人死亡后遗属可以开始享受遗属养恤金，那么老年资本化基金则将从第二支柱保险基金转入克罗地亚养恤金保险局</w:t>
      </w:r>
      <w:r>
        <w:rPr>
          <w:rFonts w:hint="eastAsia"/>
        </w:rPr>
        <w:t>(</w:t>
      </w:r>
      <w:r>
        <w:rPr>
          <w:rFonts w:hint="eastAsia"/>
        </w:rPr>
        <w:t>管理第一支柱</w:t>
      </w:r>
      <w:r>
        <w:rPr>
          <w:rFonts w:hint="eastAsia"/>
        </w:rPr>
        <w:t>)</w:t>
      </w:r>
      <w:r>
        <w:rPr>
          <w:rFonts w:hint="eastAsia"/>
        </w:rPr>
        <w:t>，在这种情况下，残疾养恤金或被保险人死亡后的遗属养恤金完全要根据《养恤金保险法案》</w:t>
      </w:r>
      <w:r>
        <w:rPr>
          <w:rFonts w:hint="eastAsia"/>
        </w:rPr>
        <w:t>(</w:t>
      </w:r>
      <w:r>
        <w:rPr>
          <w:rFonts w:hint="eastAsia"/>
        </w:rPr>
        <w:t>第一支柱</w:t>
      </w:r>
      <w:r>
        <w:rPr>
          <w:rFonts w:hint="eastAsia"/>
        </w:rPr>
        <w:t>)</w:t>
      </w:r>
      <w:r>
        <w:rPr>
          <w:rFonts w:hint="eastAsia"/>
        </w:rPr>
        <w:t>来发放。</w:t>
      </w:r>
    </w:p>
    <w:p w:rsidR="00000000" w:rsidRDefault="00000000">
      <w:pPr>
        <w:spacing w:after="320"/>
        <w:rPr>
          <w:rFonts w:hint="eastAsia"/>
        </w:rPr>
      </w:pPr>
      <w:r>
        <w:rPr>
          <w:rFonts w:hint="eastAsia"/>
        </w:rPr>
        <w:tab/>
      </w:r>
      <w:r>
        <w:rPr>
          <w:rFonts w:hint="eastAsia"/>
        </w:rPr>
        <w:t>由于《强制性和自愿养恤金基金法案》要到</w:t>
      </w:r>
      <w:r>
        <w:rPr>
          <w:rFonts w:hint="eastAsia"/>
        </w:rPr>
        <w:t>2000</w:t>
      </w:r>
      <w:r>
        <w:rPr>
          <w:rFonts w:hint="eastAsia"/>
        </w:rPr>
        <w:t>年</w:t>
      </w:r>
      <w:r>
        <w:rPr>
          <w:rFonts w:hint="eastAsia"/>
        </w:rPr>
        <w:t>1</w:t>
      </w:r>
      <w:r>
        <w:rPr>
          <w:rFonts w:hint="eastAsia"/>
        </w:rPr>
        <w:t>月</w:t>
      </w:r>
      <w:r>
        <w:rPr>
          <w:rFonts w:hint="eastAsia"/>
        </w:rPr>
        <w:t>1</w:t>
      </w:r>
      <w:r>
        <w:rPr>
          <w:rFonts w:hint="eastAsia"/>
        </w:rPr>
        <w:t>日才实施，而类似的法律和规章尚未制定，因此在以下的案文中我们将主要介绍《养恤金保险法案》规定的第一支柱代间支持计划及其将来与第二支柱保险福利的关系。</w:t>
      </w:r>
    </w:p>
    <w:p w:rsidR="00000000" w:rsidRDefault="00000000">
      <w:pPr>
        <w:pStyle w:val="Heading3"/>
        <w:rPr>
          <w:rFonts w:hint="eastAsia"/>
          <w:kern w:val="0"/>
        </w:rPr>
      </w:pPr>
      <w:r>
        <w:rPr>
          <w:rFonts w:hint="eastAsia"/>
          <w:kern w:val="0"/>
          <w:u w:val="none"/>
        </w:rPr>
        <w:t xml:space="preserve">B.  </w:t>
      </w:r>
      <w:r>
        <w:rPr>
          <w:rFonts w:hint="eastAsia"/>
          <w:kern w:val="0"/>
        </w:rPr>
        <w:t>保险范围</w:t>
      </w:r>
    </w:p>
    <w:p w:rsidR="00000000" w:rsidRDefault="00000000">
      <w:pPr>
        <w:pStyle w:val="Heading4"/>
        <w:rPr>
          <w:rFonts w:hint="eastAsia"/>
        </w:rPr>
      </w:pPr>
      <w:r>
        <w:rPr>
          <w:rFonts w:hint="eastAsia"/>
        </w:rPr>
        <w:t>强制性保险</w:t>
      </w:r>
    </w:p>
    <w:p w:rsidR="00000000" w:rsidRDefault="00000000">
      <w:pPr>
        <w:rPr>
          <w:rFonts w:hint="eastAsia"/>
        </w:rPr>
      </w:pPr>
      <w:r>
        <w:rPr>
          <w:rFonts w:hint="eastAsia"/>
        </w:rPr>
        <w:tab/>
      </w:r>
      <w:r>
        <w:rPr>
          <w:rFonts w:hint="eastAsia"/>
        </w:rPr>
        <w:t>职员、拿薪金的公务员、全日制工作的自愿人员和从学校毕业后的学徒</w:t>
      </w:r>
      <w:r>
        <w:rPr>
          <w:rFonts w:hint="eastAsia"/>
        </w:rPr>
        <w:t>(</w:t>
      </w:r>
      <w:r>
        <w:rPr>
          <w:rFonts w:hint="eastAsia"/>
        </w:rPr>
        <w:t>不管他们是否拿工资</w:t>
      </w:r>
      <w:r>
        <w:rPr>
          <w:rFonts w:hint="eastAsia"/>
        </w:rPr>
        <w:t>)</w:t>
      </w:r>
      <w:r>
        <w:rPr>
          <w:rFonts w:hint="eastAsia"/>
        </w:rPr>
        <w:t>、在就业机构登记而且</w:t>
      </w:r>
      <w:r>
        <w:rPr>
          <w:rFonts w:hint="eastAsia"/>
        </w:rPr>
        <w:t>(</w:t>
      </w:r>
      <w:r>
        <w:rPr>
          <w:rFonts w:hint="eastAsia"/>
        </w:rPr>
        <w:t>按就业规章</w:t>
      </w:r>
      <w:r>
        <w:rPr>
          <w:rFonts w:hint="eastAsia"/>
        </w:rPr>
        <w:t>)</w:t>
      </w:r>
      <w:r>
        <w:rPr>
          <w:rFonts w:hint="eastAsia"/>
        </w:rPr>
        <w:t>定期报到的失业人员，一流运动员、文书人员、贸易公司管理委员会委员、子女不满一岁的父母、只对残疾或身体受伤等具体情形保险的人、受雇于克罗地亚境内的外国外交或领事使团或者向外国公民提供个人服务的克罗地亚公民、在克罗地亚受雇的外国公民和无国籍人士。受雇于国外或者外国船舶而没有某项索赔在适用于克罗地亚和东道国之间的社会保险协议下强制保险的克罗地亚公民。</w:t>
      </w:r>
    </w:p>
    <w:p w:rsidR="00000000" w:rsidRDefault="00000000">
      <w:pPr>
        <w:rPr>
          <w:rFonts w:hint="eastAsia"/>
        </w:rPr>
      </w:pPr>
      <w:r>
        <w:rPr>
          <w:rFonts w:hint="eastAsia"/>
        </w:rPr>
        <w:tab/>
      </w:r>
      <w:r>
        <w:rPr>
          <w:rFonts w:hint="eastAsia"/>
          <w:u w:val="single"/>
        </w:rPr>
        <w:t>自营职业者</w:t>
      </w:r>
      <w:r>
        <w:rPr>
          <w:rFonts w:hint="eastAsia"/>
        </w:rPr>
        <w:t>(</w:t>
      </w:r>
      <w:r>
        <w:rPr>
          <w:rFonts w:hint="eastAsia"/>
        </w:rPr>
        <w:t>手艺人、在饮食业工作的人、承运人、商人等等</w:t>
      </w:r>
      <w:r>
        <w:rPr>
          <w:rFonts w:hint="eastAsia"/>
        </w:rPr>
        <w:t>)</w:t>
      </w:r>
      <w:r>
        <w:rPr>
          <w:rFonts w:hint="eastAsia"/>
        </w:rPr>
        <w:t>；从事专业活动的自营职业者；自耕农及其家庭成员，如果农业是他们唯一或主要的活动，如果他们居住在就业地点，但他们必须至少要上报上一年每一家庭成员年均总收入</w:t>
      </w:r>
      <w:r>
        <w:rPr>
          <w:rFonts w:hint="eastAsia"/>
        </w:rPr>
        <w:t>25%</w:t>
      </w:r>
      <w:r>
        <w:rPr>
          <w:rFonts w:hint="eastAsia"/>
        </w:rPr>
        <w:t>的地籍收入</w:t>
      </w:r>
      <w:r>
        <w:rPr>
          <w:rFonts w:hint="eastAsia"/>
        </w:rPr>
        <w:t>(</w:t>
      </w:r>
      <w:r>
        <w:rPr>
          <w:rFonts w:hint="eastAsia"/>
        </w:rPr>
        <w:t>目前被保的农民可以在</w:t>
      </w:r>
      <w:r>
        <w:rPr>
          <w:rFonts w:hint="eastAsia"/>
        </w:rPr>
        <w:t>1999</w:t>
      </w:r>
      <w:r>
        <w:rPr>
          <w:rFonts w:hint="eastAsia"/>
        </w:rPr>
        <w:t>年</w:t>
      </w:r>
      <w:r>
        <w:rPr>
          <w:rFonts w:hint="eastAsia"/>
        </w:rPr>
        <w:t>12</w:t>
      </w:r>
      <w:r>
        <w:rPr>
          <w:rFonts w:hint="eastAsia"/>
        </w:rPr>
        <w:t>月</w:t>
      </w:r>
      <w:r>
        <w:rPr>
          <w:rFonts w:hint="eastAsia"/>
        </w:rPr>
        <w:t>31</w:t>
      </w:r>
      <w:r>
        <w:rPr>
          <w:rFonts w:hint="eastAsia"/>
        </w:rPr>
        <w:t>日前的过渡期结束按某项索赔的保险计划</w:t>
      </w:r>
      <w:r>
        <w:rPr>
          <w:rFonts w:hint="eastAsia"/>
        </w:rPr>
        <w:t>)</w:t>
      </w:r>
      <w:r>
        <w:rPr>
          <w:rFonts w:hint="eastAsia"/>
        </w:rPr>
        <w:t>。</w:t>
      </w:r>
    </w:p>
    <w:p w:rsidR="00000000" w:rsidRDefault="00000000">
      <w:pPr>
        <w:rPr>
          <w:rFonts w:hint="eastAsia"/>
        </w:rPr>
      </w:pPr>
      <w:r>
        <w:rPr>
          <w:rFonts w:hint="eastAsia"/>
        </w:rPr>
        <w:tab/>
      </w:r>
      <w:r>
        <w:rPr>
          <w:rFonts w:hint="eastAsia"/>
          <w:u w:val="single"/>
        </w:rPr>
        <w:t>扩大保险</w:t>
      </w:r>
      <w:r>
        <w:rPr>
          <w:rFonts w:hint="eastAsia"/>
        </w:rPr>
        <w:t>范围内的人</w:t>
      </w:r>
      <w:r>
        <w:rPr>
          <w:rFonts w:hint="eastAsia"/>
        </w:rPr>
        <w:t>(</w:t>
      </w:r>
      <w:r>
        <w:rPr>
          <w:rFonts w:hint="eastAsia"/>
        </w:rPr>
        <w:t>扩大保险是根据强制性保险计划保险的一种自愿保险：要得到这项保险，就必须要提出申请，自行交款，他可以在结束强制性保险后</w:t>
      </w:r>
      <w:r>
        <w:rPr>
          <w:rFonts w:hint="eastAsia"/>
        </w:rPr>
        <w:t>12</w:t>
      </w:r>
      <w:r>
        <w:rPr>
          <w:rFonts w:hint="eastAsia"/>
        </w:rPr>
        <w:t>个月内提出。享受范围是：无薪金休假、有</w:t>
      </w:r>
      <w:r>
        <w:rPr>
          <w:rFonts w:hint="eastAsia"/>
        </w:rPr>
        <w:t>3</w:t>
      </w:r>
      <w:r>
        <w:rPr>
          <w:rFonts w:hint="eastAsia"/>
        </w:rPr>
        <w:t>岁以下子女的父母终止就业、职业培训、失业、临时或季节性失业或停止自营职业活动、没有在克罗地亚强制性保险的在外国就业的人以及陪伴到外国就业的配偶的人。索赔人根据克罗地亚养恤金保险所的一项决定成为自行交款人。按定期交款的条件，交款期被当作根据强制性保险计划获得养恤金权利的保险期。</w:t>
      </w:r>
      <w:r>
        <w:rPr>
          <w:rFonts w:hint="eastAsia"/>
        </w:rPr>
        <w:t>)</w:t>
      </w:r>
    </w:p>
    <w:p w:rsidR="00000000" w:rsidRDefault="00000000">
      <w:pPr>
        <w:spacing w:after="160"/>
        <w:rPr>
          <w:rFonts w:hint="eastAsia"/>
        </w:rPr>
      </w:pPr>
      <w:r>
        <w:rPr>
          <w:rFonts w:hint="eastAsia"/>
        </w:rPr>
        <w:tab/>
      </w:r>
      <w:r>
        <w:rPr>
          <w:rFonts w:hint="eastAsia"/>
          <w:u w:val="single"/>
        </w:rPr>
        <w:t>从事艰苦和不利于健康的职业的人的养恤金保险期</w:t>
      </w:r>
      <w:r>
        <w:rPr>
          <w:rFonts w:hint="eastAsia"/>
        </w:rPr>
        <w:t>作延长计算，养恤金年龄要求按比例降低，他们的养恤金保险被放在第一支柱代间支持保险内，但按一项特殊法律管理，该法载有这类职业的清单，从</w:t>
      </w:r>
      <w:r>
        <w:rPr>
          <w:rFonts w:hint="eastAsia"/>
        </w:rPr>
        <w:t>1991</w:t>
      </w:r>
      <w:r>
        <w:rPr>
          <w:rFonts w:hint="eastAsia"/>
        </w:rPr>
        <w:t>年</w:t>
      </w:r>
      <w:r>
        <w:rPr>
          <w:rFonts w:hint="eastAsia"/>
        </w:rPr>
        <w:t>7</w:t>
      </w:r>
      <w:r>
        <w:rPr>
          <w:rFonts w:hint="eastAsia"/>
        </w:rPr>
        <w:t>月</w:t>
      </w:r>
      <w:r>
        <w:rPr>
          <w:rFonts w:hint="eastAsia"/>
        </w:rPr>
        <w:t>3</w:t>
      </w:r>
      <w:r>
        <w:rPr>
          <w:rFonts w:hint="eastAsia"/>
        </w:rPr>
        <w:t>日起生效，它替代以前关于从事这类职业的人保险的立法。注意：不应将这项权利下上述“扩大保险”一词与“保险期作延长计”一语混在一起。以上的后一类保险期的计算方法是，每过</w:t>
      </w:r>
      <w:r>
        <w:rPr>
          <w:rFonts w:hint="eastAsia"/>
        </w:rPr>
        <w:t>12</w:t>
      </w:r>
      <w:r>
        <w:rPr>
          <w:rFonts w:hint="eastAsia"/>
        </w:rPr>
        <w:t>个月的保险期，则计作</w:t>
      </w:r>
      <w:r>
        <w:rPr>
          <w:rFonts w:hint="eastAsia"/>
        </w:rPr>
        <w:t>14</w:t>
      </w:r>
      <w:r>
        <w:rPr>
          <w:rFonts w:hint="eastAsia"/>
        </w:rPr>
        <w:t>、</w:t>
      </w:r>
      <w:r>
        <w:rPr>
          <w:rFonts w:hint="eastAsia"/>
        </w:rPr>
        <w:t>15</w:t>
      </w:r>
      <w:r>
        <w:rPr>
          <w:rFonts w:hint="eastAsia"/>
        </w:rPr>
        <w:t>、</w:t>
      </w:r>
      <w:r>
        <w:rPr>
          <w:rFonts w:hint="eastAsia"/>
        </w:rPr>
        <w:t>16</w:t>
      </w:r>
      <w:r>
        <w:rPr>
          <w:rFonts w:hint="eastAsia"/>
        </w:rPr>
        <w:t>或者</w:t>
      </w:r>
      <w:r>
        <w:rPr>
          <w:rFonts w:hint="eastAsia"/>
        </w:rPr>
        <w:t>18</w:t>
      </w:r>
      <w:r>
        <w:rPr>
          <w:rFonts w:hint="eastAsia"/>
        </w:rPr>
        <w:t>个月的保险，但要看所列的艰苦和不利健康的工作来决定，因为雇主必须要交的款项较高。从事艰苦和不利健康工作的人的退休年龄按以过去的这类保险期延长比例降低</w:t>
      </w:r>
      <w:r>
        <w:rPr>
          <w:rFonts w:hint="eastAsia"/>
        </w:rPr>
        <w:t>(12</w:t>
      </w:r>
      <w:r>
        <w:rPr>
          <w:rFonts w:hint="eastAsia"/>
        </w:rPr>
        <w:t>个月算作</w:t>
      </w:r>
      <w:r>
        <w:rPr>
          <w:rFonts w:hint="eastAsia"/>
        </w:rPr>
        <w:t>14</w:t>
      </w:r>
      <w:r>
        <w:rPr>
          <w:rFonts w:hint="eastAsia"/>
        </w:rPr>
        <w:t>个月</w:t>
      </w:r>
      <w:r>
        <w:rPr>
          <w:rFonts w:hint="eastAsia"/>
          <w:spacing w:val="-40"/>
          <w:sz w:val="22"/>
        </w:rPr>
        <w:t>——</w:t>
      </w:r>
      <w:r>
        <w:rPr>
          <w:sz w:val="22"/>
        </w:rPr>
        <w:t xml:space="preserve"> </w:t>
      </w:r>
      <w:r>
        <w:rPr>
          <w:rFonts w:hint="eastAsia"/>
        </w:rPr>
        <w:t>退休年龄根据每</w:t>
      </w:r>
      <w:r>
        <w:rPr>
          <w:rFonts w:hint="eastAsia"/>
        </w:rPr>
        <w:t>6</w:t>
      </w:r>
      <w:r>
        <w:rPr>
          <w:rFonts w:hint="eastAsia"/>
        </w:rPr>
        <w:t>年的这种保险降低一年；</w:t>
      </w:r>
      <w:r>
        <w:rPr>
          <w:rFonts w:hint="eastAsia"/>
        </w:rPr>
        <w:t>12</w:t>
      </w:r>
      <w:r>
        <w:rPr>
          <w:rFonts w:hint="eastAsia"/>
        </w:rPr>
        <w:t>个月算作</w:t>
      </w:r>
      <w:r>
        <w:rPr>
          <w:rFonts w:hint="eastAsia"/>
        </w:rPr>
        <w:t>15</w:t>
      </w:r>
      <w:r>
        <w:rPr>
          <w:rFonts w:hint="eastAsia"/>
        </w:rPr>
        <w:t>个月</w:t>
      </w:r>
      <w:r>
        <w:rPr>
          <w:rFonts w:hint="eastAsia"/>
          <w:spacing w:val="-40"/>
          <w:sz w:val="22"/>
        </w:rPr>
        <w:t>——</w:t>
      </w:r>
      <w:r>
        <w:rPr>
          <w:sz w:val="22"/>
        </w:rPr>
        <w:t xml:space="preserve"> </w:t>
      </w:r>
      <w:r>
        <w:rPr>
          <w:rFonts w:hint="eastAsia"/>
        </w:rPr>
        <w:t>每保险</w:t>
      </w:r>
      <w:r>
        <w:rPr>
          <w:rFonts w:hint="eastAsia"/>
        </w:rPr>
        <w:t>5</w:t>
      </w:r>
      <w:r>
        <w:rPr>
          <w:rFonts w:hint="eastAsia"/>
        </w:rPr>
        <w:t>年降低一年；</w:t>
      </w:r>
      <w:r>
        <w:rPr>
          <w:rFonts w:hint="eastAsia"/>
        </w:rPr>
        <w:t>12</w:t>
      </w:r>
      <w:r>
        <w:rPr>
          <w:rFonts w:hint="eastAsia"/>
        </w:rPr>
        <w:t>个月算作</w:t>
      </w:r>
      <w:r>
        <w:rPr>
          <w:rFonts w:hint="eastAsia"/>
        </w:rPr>
        <w:t>16</w:t>
      </w:r>
      <w:r>
        <w:rPr>
          <w:rFonts w:hint="eastAsia"/>
        </w:rPr>
        <w:t>个月</w:t>
      </w:r>
      <w:r>
        <w:rPr>
          <w:rFonts w:hint="eastAsia"/>
          <w:spacing w:val="-40"/>
          <w:sz w:val="22"/>
        </w:rPr>
        <w:t>——</w:t>
      </w:r>
      <w:r>
        <w:rPr>
          <w:sz w:val="22"/>
        </w:rPr>
        <w:t xml:space="preserve"> </w:t>
      </w:r>
      <w:r>
        <w:rPr>
          <w:rFonts w:hint="eastAsia"/>
        </w:rPr>
        <w:t>每保险</w:t>
      </w:r>
      <w:r>
        <w:rPr>
          <w:rFonts w:hint="eastAsia"/>
        </w:rPr>
        <w:t>4</w:t>
      </w:r>
      <w:r>
        <w:rPr>
          <w:rFonts w:hint="eastAsia"/>
        </w:rPr>
        <w:t>年降低一年；</w:t>
      </w:r>
      <w:r>
        <w:rPr>
          <w:rFonts w:hint="eastAsia"/>
        </w:rPr>
        <w:t>12</w:t>
      </w:r>
      <w:r>
        <w:rPr>
          <w:rFonts w:hint="eastAsia"/>
        </w:rPr>
        <w:t>个月算作</w:t>
      </w:r>
      <w:r>
        <w:rPr>
          <w:rFonts w:hint="eastAsia"/>
        </w:rPr>
        <w:t>18</w:t>
      </w:r>
      <w:r>
        <w:rPr>
          <w:rFonts w:hint="eastAsia"/>
        </w:rPr>
        <w:t>个月；每保险</w:t>
      </w:r>
      <w:r>
        <w:rPr>
          <w:rFonts w:hint="eastAsia"/>
        </w:rPr>
        <w:t>3</w:t>
      </w:r>
      <w:r>
        <w:rPr>
          <w:rFonts w:hint="eastAsia"/>
        </w:rPr>
        <w:t>年降低一年</w:t>
      </w:r>
      <w:r>
        <w:rPr>
          <w:rFonts w:hint="eastAsia"/>
        </w:rPr>
        <w:t>)</w:t>
      </w:r>
      <w:r>
        <w:rPr>
          <w:rFonts w:hint="eastAsia"/>
        </w:rPr>
        <w:t>。</w:t>
      </w:r>
    </w:p>
    <w:p w:rsidR="00000000" w:rsidRDefault="00000000">
      <w:pPr>
        <w:pStyle w:val="Heading4"/>
        <w:rPr>
          <w:rFonts w:hint="eastAsia"/>
        </w:rPr>
      </w:pPr>
      <w:r>
        <w:rPr>
          <w:rFonts w:hint="eastAsia"/>
        </w:rPr>
        <w:t>特别计划</w:t>
      </w:r>
    </w:p>
    <w:p w:rsidR="00000000" w:rsidRDefault="00000000">
      <w:pPr>
        <w:spacing w:after="240"/>
        <w:rPr>
          <w:rFonts w:hint="eastAsia"/>
        </w:rPr>
      </w:pPr>
      <w:r>
        <w:rPr>
          <w:rFonts w:hint="eastAsia"/>
        </w:rPr>
        <w:tab/>
      </w:r>
      <w:r>
        <w:rPr>
          <w:rFonts w:hint="eastAsia"/>
        </w:rPr>
        <w:t>目前没有针对特别类的人的特别计划。对按较优惠的条件由代间支柱计划提供福利的特殊群体有具体的规章。</w:t>
      </w:r>
    </w:p>
    <w:p w:rsidR="00000000" w:rsidRDefault="00000000">
      <w:pPr>
        <w:pStyle w:val="Heading4"/>
        <w:rPr>
          <w:rFonts w:hint="eastAsia"/>
        </w:rPr>
      </w:pPr>
      <w:r>
        <w:rPr>
          <w:rFonts w:hint="eastAsia"/>
        </w:rPr>
        <w:t>额外强制性和自愿保险</w:t>
      </w:r>
    </w:p>
    <w:p w:rsidR="00000000" w:rsidRDefault="00000000">
      <w:pPr>
        <w:spacing w:after="320"/>
        <w:rPr>
          <w:rFonts w:hint="eastAsia"/>
        </w:rPr>
      </w:pPr>
      <w:r>
        <w:rPr>
          <w:rFonts w:hint="eastAsia"/>
        </w:rPr>
        <w:tab/>
      </w:r>
      <w:r>
        <w:rPr>
          <w:rFonts w:hint="eastAsia"/>
        </w:rPr>
        <w:t>这种保险是《强制性和自愿保险金基金法案》，从</w:t>
      </w:r>
      <w:r>
        <w:rPr>
          <w:rFonts w:hint="eastAsia"/>
        </w:rPr>
        <w:t>2000</w:t>
      </w:r>
      <w:r>
        <w:rPr>
          <w:rFonts w:hint="eastAsia"/>
        </w:rPr>
        <w:t>年</w:t>
      </w:r>
      <w:r>
        <w:rPr>
          <w:rFonts w:hint="eastAsia"/>
        </w:rPr>
        <w:t>1</w:t>
      </w:r>
      <w:r>
        <w:rPr>
          <w:rFonts w:hint="eastAsia"/>
        </w:rPr>
        <w:t>月</w:t>
      </w:r>
      <w:r>
        <w:rPr>
          <w:rFonts w:hint="eastAsia"/>
        </w:rPr>
        <w:t>7</w:t>
      </w:r>
      <w:r>
        <w:rPr>
          <w:rFonts w:hint="eastAsia"/>
        </w:rPr>
        <w:t>日起实施</w:t>
      </w:r>
      <w:r>
        <w:rPr>
          <w:rFonts w:hint="eastAsia"/>
        </w:rPr>
        <w:t>(</w:t>
      </w:r>
      <w:r>
        <w:rPr>
          <w:rFonts w:hint="eastAsia"/>
        </w:rPr>
        <w:t>本总结不述及</w:t>
      </w:r>
      <w:r>
        <w:rPr>
          <w:rFonts w:hint="eastAsia"/>
        </w:rPr>
        <w:t>)</w:t>
      </w:r>
      <w:r>
        <w:rPr>
          <w:rFonts w:hint="eastAsia"/>
        </w:rPr>
        <w:t>。</w:t>
      </w:r>
    </w:p>
    <w:p w:rsidR="00000000" w:rsidRDefault="00000000">
      <w:pPr>
        <w:pStyle w:val="Heading3"/>
        <w:rPr>
          <w:rFonts w:hint="eastAsia"/>
          <w:kern w:val="0"/>
        </w:rPr>
      </w:pPr>
      <w:r>
        <w:rPr>
          <w:rFonts w:hint="eastAsia"/>
          <w:kern w:val="0"/>
          <w:u w:val="none"/>
        </w:rPr>
        <w:t xml:space="preserve">C.  </w:t>
      </w:r>
      <w:r>
        <w:rPr>
          <w:rFonts w:hint="eastAsia"/>
          <w:kern w:val="0"/>
        </w:rPr>
        <w:t>资金来源</w:t>
      </w:r>
    </w:p>
    <w:p w:rsidR="00000000" w:rsidRDefault="00000000">
      <w:pPr>
        <w:rPr>
          <w:rFonts w:hint="eastAsia"/>
        </w:rPr>
      </w:pPr>
      <w:r>
        <w:rPr>
          <w:rFonts w:hint="eastAsia"/>
        </w:rPr>
        <w:tab/>
      </w:r>
      <w:r>
        <w:rPr>
          <w:rFonts w:hint="eastAsia"/>
          <w:u w:val="single"/>
        </w:rPr>
        <w:t>交款额</w:t>
      </w:r>
      <w:r>
        <w:rPr>
          <w:rFonts w:hint="eastAsia"/>
        </w:rPr>
        <w:t>将由克罗地亚国会在每一本年度的</w:t>
      </w:r>
      <w:r>
        <w:rPr>
          <w:rFonts w:hint="eastAsia"/>
        </w:rPr>
        <w:t>11</w:t>
      </w:r>
      <w:r>
        <w:rPr>
          <w:rFonts w:hint="eastAsia"/>
        </w:rPr>
        <w:t>月底为下一日历年作出的决定中确定，这项决定由养恤金保险所管理委员会就支付预期费用</w:t>
      </w:r>
      <w:r>
        <w:rPr>
          <w:rFonts w:hint="eastAsia"/>
        </w:rPr>
        <w:t>(</w:t>
      </w:r>
      <w:r>
        <w:rPr>
          <w:rFonts w:hint="eastAsia"/>
        </w:rPr>
        <w:t>代间支持法</w:t>
      </w:r>
      <w:r>
        <w:rPr>
          <w:rFonts w:hint="eastAsia"/>
        </w:rPr>
        <w:t>)</w:t>
      </w:r>
      <w:r>
        <w:rPr>
          <w:rFonts w:hint="eastAsia"/>
        </w:rPr>
        <w:t>所需的金额问题提出的建议而作出。</w:t>
      </w:r>
      <w:r>
        <w:rPr>
          <w:rFonts w:hint="eastAsia"/>
        </w:rPr>
        <w:t>21.5%</w:t>
      </w:r>
      <w:r>
        <w:rPr>
          <w:rFonts w:hint="eastAsia"/>
        </w:rPr>
        <w:t>全额交款，没有交款上限，实行交款最低限额。</w:t>
      </w:r>
    </w:p>
    <w:p w:rsidR="00000000" w:rsidRDefault="00000000">
      <w:pPr>
        <w:rPr>
          <w:rFonts w:hint="eastAsia"/>
        </w:rPr>
      </w:pPr>
      <w:r>
        <w:rPr>
          <w:rFonts w:hint="eastAsia"/>
        </w:rPr>
        <w:tab/>
      </w:r>
      <w:r>
        <w:rPr>
          <w:rFonts w:hint="eastAsia"/>
          <w:u w:val="single"/>
        </w:rPr>
        <w:t>雇主</w:t>
      </w:r>
      <w:r>
        <w:rPr>
          <w:rFonts w:hint="eastAsia"/>
        </w:rPr>
        <w:t>：按百分比支付所有受雇人员的交款的一半。</w:t>
      </w:r>
      <w:r>
        <w:rPr>
          <w:rFonts w:hint="eastAsia"/>
        </w:rPr>
        <w:t>(</w:t>
      </w:r>
      <w:r>
        <w:rPr>
          <w:rFonts w:hint="eastAsia"/>
        </w:rPr>
        <w:t>艰苦和不利健康的工作被列入从事商业活动的雇主要为作延长计算的保险期交额外的保险金。</w:t>
      </w:r>
      <w:r>
        <w:rPr>
          <w:rFonts w:hint="eastAsia"/>
        </w:rPr>
        <w:t>)</w:t>
      </w:r>
    </w:p>
    <w:p w:rsidR="00000000" w:rsidRDefault="00000000">
      <w:pPr>
        <w:rPr>
          <w:rFonts w:hint="eastAsia"/>
        </w:rPr>
      </w:pPr>
      <w:r>
        <w:rPr>
          <w:rFonts w:hint="eastAsia"/>
        </w:rPr>
        <w:tab/>
      </w:r>
      <w:r>
        <w:rPr>
          <w:rFonts w:hint="eastAsia"/>
          <w:u w:val="single"/>
        </w:rPr>
        <w:t>职员</w:t>
      </w:r>
      <w:r>
        <w:rPr>
          <w:rFonts w:hint="eastAsia"/>
        </w:rPr>
        <w:t>：按工资总额百分比交另一半保险金。</w:t>
      </w:r>
    </w:p>
    <w:p w:rsidR="00000000" w:rsidRDefault="00000000">
      <w:pPr>
        <w:rPr>
          <w:rFonts w:hint="eastAsia"/>
        </w:rPr>
      </w:pPr>
      <w:r>
        <w:rPr>
          <w:rFonts w:hint="eastAsia"/>
        </w:rPr>
        <w:tab/>
      </w:r>
      <w:r>
        <w:rPr>
          <w:rFonts w:hint="eastAsia"/>
          <w:u w:val="single"/>
        </w:rPr>
        <w:t>自行交款者</w:t>
      </w:r>
      <w:r>
        <w:rPr>
          <w:rFonts w:hint="eastAsia"/>
        </w:rPr>
        <w:t>：所有自营职业者，按确定或选择的保险基础交全额</w:t>
      </w:r>
      <w:r>
        <w:rPr>
          <w:rFonts w:hint="eastAsia"/>
        </w:rPr>
        <w:t>(</w:t>
      </w:r>
      <w:r>
        <w:rPr>
          <w:rFonts w:hint="eastAsia"/>
        </w:rPr>
        <w:t>雇主的和雇员的</w:t>
      </w:r>
      <w:r>
        <w:rPr>
          <w:rFonts w:hint="eastAsia"/>
        </w:rPr>
        <w:t>)</w:t>
      </w:r>
      <w:r>
        <w:rPr>
          <w:rFonts w:hint="eastAsia"/>
        </w:rPr>
        <w:t>。</w:t>
      </w:r>
    </w:p>
    <w:p w:rsidR="00000000" w:rsidRDefault="00000000">
      <w:pPr>
        <w:rPr>
          <w:rFonts w:hint="eastAsia"/>
        </w:rPr>
      </w:pPr>
      <w:r>
        <w:rPr>
          <w:rFonts w:hint="eastAsia"/>
        </w:rPr>
        <w:tab/>
      </w:r>
      <w:r>
        <w:rPr>
          <w:rFonts w:hint="eastAsia"/>
          <w:u w:val="single"/>
        </w:rPr>
        <w:t>克罗地亚养恤金保险局</w:t>
      </w:r>
      <w:r>
        <w:rPr>
          <w:rFonts w:hint="eastAsia"/>
        </w:rPr>
        <w:t>：红利收入、利息和其他投资的利息。</w:t>
      </w:r>
      <w:r>
        <w:rPr>
          <w:rFonts w:hint="eastAsia"/>
        </w:rPr>
        <w:t>(</w:t>
      </w:r>
      <w:r>
        <w:rPr>
          <w:rFonts w:hint="eastAsia"/>
        </w:rPr>
        <w:t>该局的资产是，除了动产和资金外，有股票和公司股份。</w:t>
      </w:r>
      <w:r>
        <w:rPr>
          <w:rFonts w:hint="eastAsia"/>
        </w:rPr>
        <w:t>)</w:t>
      </w:r>
    </w:p>
    <w:p w:rsidR="00000000" w:rsidRDefault="00000000">
      <w:pPr>
        <w:rPr>
          <w:rFonts w:hint="eastAsia"/>
        </w:rPr>
      </w:pPr>
      <w:r>
        <w:rPr>
          <w:rFonts w:hint="eastAsia"/>
        </w:rPr>
        <w:tab/>
      </w:r>
      <w:r>
        <w:rPr>
          <w:rFonts w:hint="eastAsia"/>
          <w:u w:val="single"/>
        </w:rPr>
        <w:t>政府从国家预算中的支出</w:t>
      </w:r>
      <w:r>
        <w:rPr>
          <w:rFonts w:hint="eastAsia"/>
        </w:rPr>
        <w:t>：包括根据较优惠条件提供的养恤金福利费用的全部或各自的部分。向养恤金保险所提供贷款以完成清偿。包括自耕农支付的一半保险费，如果他们按确定的保险基础保险的话</w:t>
      </w:r>
      <w:r>
        <w:rPr>
          <w:rFonts w:hint="eastAsia"/>
        </w:rPr>
        <w:t>(</w:t>
      </w:r>
      <w:r>
        <w:rPr>
          <w:rFonts w:hint="eastAsia"/>
        </w:rPr>
        <w:t>但如果他们按选择的较高的保险基础保险的话，则不是</w:t>
      </w:r>
      <w:r>
        <w:rPr>
          <w:rFonts w:hint="eastAsia"/>
        </w:rPr>
        <w:t>)</w:t>
      </w:r>
    </w:p>
    <w:p w:rsidR="00000000" w:rsidRDefault="00000000">
      <w:pPr>
        <w:spacing w:after="320"/>
        <w:rPr>
          <w:rFonts w:hint="eastAsia"/>
        </w:rPr>
      </w:pPr>
      <w:r>
        <w:rPr>
          <w:rFonts w:hint="eastAsia"/>
        </w:rPr>
        <w:tab/>
      </w:r>
      <w:r>
        <w:rPr>
          <w:rFonts w:hint="eastAsia"/>
          <w:u w:val="single"/>
        </w:rPr>
        <w:t>说明</w:t>
      </w:r>
      <w:r>
        <w:rPr>
          <w:rFonts w:hint="eastAsia"/>
        </w:rPr>
        <w:t>：由于从</w:t>
      </w:r>
      <w:r>
        <w:rPr>
          <w:rFonts w:hint="eastAsia"/>
        </w:rPr>
        <w:t>2000</w:t>
      </w:r>
      <w:r>
        <w:rPr>
          <w:rFonts w:hint="eastAsia"/>
        </w:rPr>
        <w:t>年</w:t>
      </w:r>
      <w:r>
        <w:rPr>
          <w:rFonts w:hint="eastAsia"/>
        </w:rPr>
        <w:t>7</w:t>
      </w:r>
      <w:r>
        <w:rPr>
          <w:rFonts w:hint="eastAsia"/>
        </w:rPr>
        <w:t>月</w:t>
      </w:r>
      <w:r>
        <w:rPr>
          <w:rFonts w:hint="eastAsia"/>
        </w:rPr>
        <w:t>1</w:t>
      </w:r>
      <w:r>
        <w:rPr>
          <w:rFonts w:hint="eastAsia"/>
        </w:rPr>
        <w:t>日起采用第二支柱交款额，因此从这一天起，</w:t>
      </w:r>
      <w:r>
        <w:rPr>
          <w:rFonts w:hint="eastAsia"/>
        </w:rPr>
        <w:t>40</w:t>
      </w:r>
      <w:r>
        <w:rPr>
          <w:rFonts w:hint="eastAsia"/>
        </w:rPr>
        <w:t>岁以下的被保险人将减少对代间支持计划的第一支柱交款，因此必须增加强制性老年保险。</w:t>
      </w:r>
      <w:r>
        <w:rPr>
          <w:rFonts w:hint="eastAsia"/>
        </w:rPr>
        <w:t>40-50</w:t>
      </w:r>
      <w:r>
        <w:rPr>
          <w:rFonts w:hint="eastAsia"/>
        </w:rPr>
        <w:t>岁选择这种额外保险的人同样也适用。代间支持制度中因此而减少的收入将由国家预算予以支出。</w:t>
      </w:r>
    </w:p>
    <w:p w:rsidR="00000000" w:rsidRDefault="00000000">
      <w:pPr>
        <w:pStyle w:val="Heading3"/>
        <w:rPr>
          <w:rFonts w:hint="eastAsia"/>
          <w:kern w:val="0"/>
        </w:rPr>
      </w:pPr>
      <w:r>
        <w:rPr>
          <w:rFonts w:hint="eastAsia"/>
          <w:kern w:val="0"/>
          <w:u w:val="none"/>
        </w:rPr>
        <w:t xml:space="preserve">D.  </w:t>
      </w:r>
      <w:r>
        <w:rPr>
          <w:rFonts w:hint="eastAsia"/>
          <w:kern w:val="0"/>
        </w:rPr>
        <w:t>获得资格的条件</w:t>
      </w:r>
    </w:p>
    <w:p w:rsidR="00000000" w:rsidRDefault="00000000">
      <w:pPr>
        <w:rPr>
          <w:rFonts w:hint="eastAsia"/>
        </w:rPr>
      </w:pPr>
      <w:r>
        <w:rPr>
          <w:rFonts w:hint="eastAsia"/>
        </w:rPr>
        <w:tab/>
      </w:r>
      <w:r>
        <w:rPr>
          <w:rFonts w:hint="eastAsia"/>
        </w:rPr>
        <w:t>能否得到所有养恤金，除年龄条件外，还要取决于所完成的合格</w:t>
      </w:r>
      <w:r>
        <w:rPr>
          <w:rFonts w:hint="eastAsia"/>
        </w:rPr>
        <w:t>(</w:t>
      </w:r>
      <w:r>
        <w:rPr>
          <w:rFonts w:hint="eastAsia"/>
        </w:rPr>
        <w:t>主要是保险</w:t>
      </w:r>
      <w:r>
        <w:rPr>
          <w:rFonts w:hint="eastAsia"/>
        </w:rPr>
        <w:t>)</w:t>
      </w:r>
      <w:r>
        <w:rPr>
          <w:rFonts w:hint="eastAsia"/>
        </w:rPr>
        <w:t>期，但因工伤或职业病而获得的残疾福利和养恤金除外，对这种养恤金来说，只要在意外事故发生时有保险地位就已足够。没有采取对津贴作检验的办法，津贴也不以居住地或公民身份为条件，但是采取了最低养恤金保护以及最高养恤金限制的政策。</w:t>
      </w:r>
    </w:p>
    <w:p w:rsidR="00000000" w:rsidRDefault="00000000">
      <w:pPr>
        <w:rPr>
          <w:rFonts w:hint="eastAsia"/>
        </w:rPr>
      </w:pPr>
      <w:r>
        <w:rPr>
          <w:rFonts w:hint="eastAsia"/>
        </w:rPr>
        <w:tab/>
      </w:r>
      <w:r>
        <w:rPr>
          <w:rFonts w:hint="eastAsia"/>
          <w:u w:val="single"/>
        </w:rPr>
        <w:t>老年养恤金</w:t>
      </w:r>
      <w:r>
        <w:rPr>
          <w:rFonts w:hint="eastAsia"/>
        </w:rPr>
        <w:t>：</w:t>
      </w:r>
      <w:r>
        <w:rPr>
          <w:rFonts w:hint="eastAsia"/>
        </w:rPr>
        <w:t>65</w:t>
      </w:r>
      <w:r>
        <w:rPr>
          <w:rFonts w:hint="eastAsia"/>
        </w:rPr>
        <w:t>岁</w:t>
      </w:r>
      <w:r>
        <w:rPr>
          <w:rFonts w:hint="eastAsia"/>
        </w:rPr>
        <w:t>(</w:t>
      </w:r>
      <w:r>
        <w:rPr>
          <w:rFonts w:hint="eastAsia"/>
        </w:rPr>
        <w:t>男性</w:t>
      </w:r>
      <w:r>
        <w:rPr>
          <w:rFonts w:hint="eastAsia"/>
        </w:rPr>
        <w:t>)</w:t>
      </w:r>
      <w:r>
        <w:rPr>
          <w:rFonts w:hint="eastAsia"/>
        </w:rPr>
        <w:t>或</w:t>
      </w:r>
      <w:r>
        <w:rPr>
          <w:rFonts w:hint="eastAsia"/>
        </w:rPr>
        <w:t>60</w:t>
      </w:r>
      <w:r>
        <w:rPr>
          <w:rFonts w:hint="eastAsia"/>
        </w:rPr>
        <w:t>岁</w:t>
      </w:r>
      <w:r>
        <w:rPr>
          <w:rFonts w:hint="eastAsia"/>
        </w:rPr>
        <w:t>(</w:t>
      </w:r>
      <w:r>
        <w:rPr>
          <w:rFonts w:hint="eastAsia"/>
        </w:rPr>
        <w:t>女性</w:t>
      </w:r>
      <w:r>
        <w:rPr>
          <w:rFonts w:hint="eastAsia"/>
        </w:rPr>
        <w:t>)</w:t>
      </w:r>
      <w:r>
        <w:rPr>
          <w:rFonts w:hint="eastAsia"/>
        </w:rPr>
        <w:t>和</w:t>
      </w:r>
      <w:r>
        <w:rPr>
          <w:rFonts w:hint="eastAsia"/>
        </w:rPr>
        <w:t>15</w:t>
      </w:r>
      <w:r>
        <w:rPr>
          <w:rFonts w:hint="eastAsia"/>
        </w:rPr>
        <w:t>年合格期。</w:t>
      </w:r>
      <w:r>
        <w:rPr>
          <w:rFonts w:hint="eastAsia"/>
        </w:rPr>
        <w:t>(1999</w:t>
      </w:r>
      <w:r>
        <w:rPr>
          <w:rFonts w:hint="eastAsia"/>
        </w:rPr>
        <w:t>年至</w:t>
      </w:r>
      <w:r>
        <w:rPr>
          <w:rFonts w:hint="eastAsia"/>
        </w:rPr>
        <w:t>2000</w:t>
      </w:r>
      <w:r>
        <w:rPr>
          <w:rFonts w:hint="eastAsia"/>
        </w:rPr>
        <w:t>年过渡期</w:t>
      </w:r>
      <w:r>
        <w:rPr>
          <w:rFonts w:hint="eastAsia"/>
          <w:spacing w:val="-40"/>
          <w:sz w:val="22"/>
        </w:rPr>
        <w:t>——</w:t>
      </w:r>
      <w:r>
        <w:rPr>
          <w:sz w:val="22"/>
        </w:rPr>
        <w:t xml:space="preserve"> </w:t>
      </w:r>
      <w:r>
        <w:rPr>
          <w:rFonts w:hint="eastAsia"/>
        </w:rPr>
        <w:t>按</w:t>
      </w:r>
      <w:r>
        <w:rPr>
          <w:rFonts w:hint="eastAsia"/>
        </w:rPr>
        <w:t>1998</w:t>
      </w:r>
      <w:r>
        <w:rPr>
          <w:rFonts w:hint="eastAsia"/>
        </w:rPr>
        <w:t>年</w:t>
      </w:r>
      <w:r>
        <w:rPr>
          <w:rFonts w:hint="eastAsia"/>
        </w:rPr>
        <w:t>12</w:t>
      </w:r>
      <w:r>
        <w:rPr>
          <w:rFonts w:hint="eastAsia"/>
        </w:rPr>
        <w:t>月</w:t>
      </w:r>
      <w:r>
        <w:rPr>
          <w:rFonts w:hint="eastAsia"/>
        </w:rPr>
        <w:t>31</w:t>
      </w:r>
      <w:r>
        <w:rPr>
          <w:rFonts w:hint="eastAsia"/>
        </w:rPr>
        <w:t>日前适用的立法规定的合格条件，</w:t>
      </w:r>
      <w:r>
        <w:rPr>
          <w:rFonts w:hint="eastAsia"/>
        </w:rPr>
        <w:t>60</w:t>
      </w:r>
      <w:r>
        <w:rPr>
          <w:rFonts w:hint="eastAsia"/>
        </w:rPr>
        <w:t>岁</w:t>
      </w:r>
      <w:r>
        <w:rPr>
          <w:rFonts w:hint="eastAsia"/>
        </w:rPr>
        <w:t>(</w:t>
      </w:r>
      <w:r>
        <w:rPr>
          <w:rFonts w:hint="eastAsia"/>
        </w:rPr>
        <w:t>男性</w:t>
      </w:r>
      <w:r>
        <w:rPr>
          <w:rFonts w:hint="eastAsia"/>
        </w:rPr>
        <w:t>)</w:t>
      </w:r>
      <w:r>
        <w:rPr>
          <w:rFonts w:hint="eastAsia"/>
        </w:rPr>
        <w:t>或</w:t>
      </w:r>
      <w:r>
        <w:rPr>
          <w:rFonts w:hint="eastAsia"/>
        </w:rPr>
        <w:t>55</w:t>
      </w:r>
      <w:r>
        <w:rPr>
          <w:rFonts w:hint="eastAsia"/>
        </w:rPr>
        <w:t>岁</w:t>
      </w:r>
      <w:r>
        <w:rPr>
          <w:rFonts w:hint="eastAsia"/>
        </w:rPr>
        <w:t>(</w:t>
      </w:r>
      <w:r>
        <w:rPr>
          <w:rFonts w:hint="eastAsia"/>
        </w:rPr>
        <w:t>女性</w:t>
      </w:r>
      <w:r>
        <w:rPr>
          <w:rFonts w:hint="eastAsia"/>
        </w:rPr>
        <w:t>)</w:t>
      </w:r>
      <w:r>
        <w:rPr>
          <w:rFonts w:hint="eastAsia"/>
        </w:rPr>
        <w:t>和</w:t>
      </w:r>
      <w:r>
        <w:rPr>
          <w:rFonts w:hint="eastAsia"/>
        </w:rPr>
        <w:t>20</w:t>
      </w:r>
      <w:r>
        <w:rPr>
          <w:rFonts w:hint="eastAsia"/>
        </w:rPr>
        <w:t>年合格期；</w:t>
      </w:r>
      <w:r>
        <w:rPr>
          <w:rFonts w:hint="eastAsia"/>
        </w:rPr>
        <w:t>65</w:t>
      </w:r>
      <w:r>
        <w:rPr>
          <w:rFonts w:hint="eastAsia"/>
        </w:rPr>
        <w:t>岁</w:t>
      </w:r>
      <w:r>
        <w:rPr>
          <w:rFonts w:hint="eastAsia"/>
        </w:rPr>
        <w:t>(</w:t>
      </w:r>
      <w:r>
        <w:rPr>
          <w:rFonts w:hint="eastAsia"/>
        </w:rPr>
        <w:t>男性</w:t>
      </w:r>
      <w:r>
        <w:rPr>
          <w:rFonts w:hint="eastAsia"/>
        </w:rPr>
        <w:t>)</w:t>
      </w:r>
      <w:r>
        <w:rPr>
          <w:rFonts w:hint="eastAsia"/>
        </w:rPr>
        <w:t>或</w:t>
      </w:r>
      <w:r>
        <w:rPr>
          <w:rFonts w:hint="eastAsia"/>
        </w:rPr>
        <w:t>60</w:t>
      </w:r>
      <w:r>
        <w:rPr>
          <w:rFonts w:hint="eastAsia"/>
        </w:rPr>
        <w:t>岁</w:t>
      </w:r>
      <w:r>
        <w:rPr>
          <w:rFonts w:hint="eastAsia"/>
        </w:rPr>
        <w:t>(</w:t>
      </w:r>
      <w:r>
        <w:rPr>
          <w:rFonts w:hint="eastAsia"/>
        </w:rPr>
        <w:t>女性</w:t>
      </w:r>
      <w:r>
        <w:rPr>
          <w:rFonts w:hint="eastAsia"/>
        </w:rPr>
        <w:t>)</w:t>
      </w:r>
      <w:r>
        <w:rPr>
          <w:rFonts w:hint="eastAsia"/>
        </w:rPr>
        <w:t>和</w:t>
      </w:r>
      <w:r>
        <w:rPr>
          <w:rFonts w:hint="eastAsia"/>
        </w:rPr>
        <w:t>15</w:t>
      </w:r>
      <w:r>
        <w:rPr>
          <w:rFonts w:hint="eastAsia"/>
        </w:rPr>
        <w:t>年保险期；</w:t>
      </w:r>
      <w:r>
        <w:rPr>
          <w:rFonts w:hint="eastAsia"/>
        </w:rPr>
        <w:t>40</w:t>
      </w:r>
      <w:r>
        <w:rPr>
          <w:rFonts w:hint="eastAsia"/>
        </w:rPr>
        <w:t>年</w:t>
      </w:r>
      <w:r>
        <w:rPr>
          <w:rFonts w:hint="eastAsia"/>
        </w:rPr>
        <w:t>(</w:t>
      </w:r>
      <w:r>
        <w:rPr>
          <w:rFonts w:hint="eastAsia"/>
        </w:rPr>
        <w:t>男性</w:t>
      </w:r>
      <w:r>
        <w:rPr>
          <w:rFonts w:hint="eastAsia"/>
        </w:rPr>
        <w:t>)</w:t>
      </w:r>
      <w:r>
        <w:rPr>
          <w:rFonts w:hint="eastAsia"/>
        </w:rPr>
        <w:t>或</w:t>
      </w:r>
      <w:r>
        <w:rPr>
          <w:rFonts w:hint="eastAsia"/>
        </w:rPr>
        <w:t>35</w:t>
      </w:r>
      <w:r>
        <w:rPr>
          <w:rFonts w:hint="eastAsia"/>
        </w:rPr>
        <w:t>年</w:t>
      </w:r>
      <w:r>
        <w:rPr>
          <w:rFonts w:hint="eastAsia"/>
        </w:rPr>
        <w:t>(</w:t>
      </w:r>
      <w:r>
        <w:rPr>
          <w:rFonts w:hint="eastAsia"/>
        </w:rPr>
        <w:t>女性</w:t>
      </w:r>
      <w:r>
        <w:rPr>
          <w:rFonts w:hint="eastAsia"/>
        </w:rPr>
        <w:t>)</w:t>
      </w:r>
      <w:r>
        <w:rPr>
          <w:rFonts w:hint="eastAsia"/>
        </w:rPr>
        <w:t>的合格期，年龄不管，在年龄上加上</w:t>
      </w:r>
      <w:r>
        <w:rPr>
          <w:rFonts w:hint="eastAsia"/>
        </w:rPr>
        <w:t>6</w:t>
      </w:r>
      <w:r>
        <w:rPr>
          <w:rFonts w:hint="eastAsia"/>
        </w:rPr>
        <w:t>个月，并同时在每一日历年减少</w:t>
      </w:r>
      <w:r>
        <w:rPr>
          <w:rFonts w:hint="eastAsia"/>
        </w:rPr>
        <w:t>6</w:t>
      </w:r>
      <w:r>
        <w:rPr>
          <w:rFonts w:hint="eastAsia"/>
        </w:rPr>
        <w:t>个月的最低合格期条件。</w:t>
      </w:r>
      <w:r>
        <w:rPr>
          <w:rFonts w:hint="eastAsia"/>
        </w:rPr>
        <w:t>)</w:t>
      </w:r>
    </w:p>
    <w:p w:rsidR="00000000" w:rsidRDefault="00000000">
      <w:pPr>
        <w:rPr>
          <w:rFonts w:hint="eastAsia"/>
        </w:rPr>
      </w:pPr>
      <w:r>
        <w:rPr>
          <w:rFonts w:hint="eastAsia"/>
        </w:rPr>
        <w:tab/>
      </w:r>
      <w:r>
        <w:rPr>
          <w:rFonts w:hint="eastAsia"/>
          <w:u w:val="single"/>
        </w:rPr>
        <w:t>预支养老金</w:t>
      </w:r>
      <w:r>
        <w:rPr>
          <w:rFonts w:hint="eastAsia"/>
        </w:rPr>
        <w:t>：</w:t>
      </w:r>
      <w:r>
        <w:rPr>
          <w:rFonts w:hint="eastAsia"/>
        </w:rPr>
        <w:t>60</w:t>
      </w:r>
      <w:r>
        <w:rPr>
          <w:rFonts w:hint="eastAsia"/>
        </w:rPr>
        <w:t>年和</w:t>
      </w:r>
      <w:r>
        <w:rPr>
          <w:rFonts w:hint="eastAsia"/>
        </w:rPr>
        <w:t>35</w:t>
      </w:r>
      <w:r>
        <w:rPr>
          <w:rFonts w:hint="eastAsia"/>
        </w:rPr>
        <w:t>年的合格期</w:t>
      </w:r>
      <w:r>
        <w:rPr>
          <w:rFonts w:hint="eastAsia"/>
        </w:rPr>
        <w:t>(</w:t>
      </w:r>
      <w:r>
        <w:rPr>
          <w:rFonts w:hint="eastAsia"/>
        </w:rPr>
        <w:t>男性</w:t>
      </w:r>
      <w:r>
        <w:rPr>
          <w:rFonts w:hint="eastAsia"/>
        </w:rPr>
        <w:t>)</w:t>
      </w:r>
      <w:r>
        <w:rPr>
          <w:rFonts w:hint="eastAsia"/>
        </w:rPr>
        <w:t>或者</w:t>
      </w:r>
      <w:r>
        <w:rPr>
          <w:rFonts w:hint="eastAsia"/>
        </w:rPr>
        <w:t>55</w:t>
      </w:r>
      <w:r>
        <w:rPr>
          <w:rFonts w:hint="eastAsia"/>
        </w:rPr>
        <w:t>岁和</w:t>
      </w:r>
      <w:r>
        <w:rPr>
          <w:rFonts w:hint="eastAsia"/>
        </w:rPr>
        <w:t>30</w:t>
      </w:r>
      <w:r>
        <w:rPr>
          <w:rFonts w:hint="eastAsia"/>
        </w:rPr>
        <w:t>年的合格期</w:t>
      </w:r>
      <w:r>
        <w:rPr>
          <w:rFonts w:hint="eastAsia"/>
        </w:rPr>
        <w:t>(</w:t>
      </w:r>
      <w:r>
        <w:rPr>
          <w:rFonts w:hint="eastAsia"/>
        </w:rPr>
        <w:t>女性</w:t>
      </w:r>
      <w:r>
        <w:rPr>
          <w:rFonts w:hint="eastAsia"/>
        </w:rPr>
        <w:t>)</w:t>
      </w:r>
      <w:r>
        <w:rPr>
          <w:rFonts w:hint="eastAsia"/>
        </w:rPr>
        <w:t>。</w:t>
      </w:r>
      <w:r>
        <w:rPr>
          <w:rFonts w:hint="eastAsia"/>
        </w:rPr>
        <w:t>1999</w:t>
      </w:r>
      <w:r>
        <w:rPr>
          <w:rFonts w:hint="eastAsia"/>
        </w:rPr>
        <w:t>年至</w:t>
      </w:r>
      <w:r>
        <w:rPr>
          <w:rFonts w:hint="eastAsia"/>
        </w:rPr>
        <w:t>2007</w:t>
      </w:r>
      <w:r>
        <w:rPr>
          <w:rFonts w:hint="eastAsia"/>
        </w:rPr>
        <w:t>年过渡期</w:t>
      </w:r>
      <w:r>
        <w:rPr>
          <w:rFonts w:hint="eastAsia"/>
          <w:spacing w:val="-40"/>
          <w:sz w:val="22"/>
        </w:rPr>
        <w:t>——</w:t>
      </w:r>
      <w:r>
        <w:rPr>
          <w:sz w:val="22"/>
        </w:rPr>
        <w:t xml:space="preserve"> </w:t>
      </w:r>
      <w:r>
        <w:rPr>
          <w:rFonts w:hint="eastAsia"/>
        </w:rPr>
        <w:t>按</w:t>
      </w:r>
      <w:r>
        <w:rPr>
          <w:rFonts w:hint="eastAsia"/>
        </w:rPr>
        <w:t>1998</w:t>
      </w:r>
      <w:r>
        <w:rPr>
          <w:rFonts w:hint="eastAsia"/>
        </w:rPr>
        <w:t>年</w:t>
      </w:r>
      <w:r>
        <w:rPr>
          <w:rFonts w:hint="eastAsia"/>
        </w:rPr>
        <w:t>12</w:t>
      </w:r>
      <w:r>
        <w:rPr>
          <w:rFonts w:hint="eastAsia"/>
        </w:rPr>
        <w:t>月</w:t>
      </w:r>
      <w:r>
        <w:rPr>
          <w:rFonts w:hint="eastAsia"/>
        </w:rPr>
        <w:t>31</w:t>
      </w:r>
      <w:r>
        <w:rPr>
          <w:rFonts w:hint="eastAsia"/>
        </w:rPr>
        <w:t>日前适用的立法规定的合格条件，即</w:t>
      </w:r>
      <w:r>
        <w:rPr>
          <w:rFonts w:hint="eastAsia"/>
        </w:rPr>
        <w:t>55</w:t>
      </w:r>
      <w:r>
        <w:rPr>
          <w:rFonts w:hint="eastAsia"/>
        </w:rPr>
        <w:t>岁和</w:t>
      </w:r>
      <w:r>
        <w:rPr>
          <w:rFonts w:hint="eastAsia"/>
        </w:rPr>
        <w:t>35</w:t>
      </w:r>
      <w:r>
        <w:rPr>
          <w:rFonts w:hint="eastAsia"/>
        </w:rPr>
        <w:t>年应计养恤金</w:t>
      </w:r>
      <w:r>
        <w:rPr>
          <w:rFonts w:hint="eastAsia"/>
        </w:rPr>
        <w:t>17(</w:t>
      </w:r>
      <w:r>
        <w:rPr>
          <w:rFonts w:hint="eastAsia"/>
        </w:rPr>
        <w:t>男性</w:t>
      </w:r>
      <w:r>
        <w:rPr>
          <w:rFonts w:hint="eastAsia"/>
        </w:rPr>
        <w:t>)</w:t>
      </w:r>
      <w:r>
        <w:rPr>
          <w:rFonts w:hint="eastAsia"/>
        </w:rPr>
        <w:t>或</w:t>
      </w:r>
      <w:r>
        <w:rPr>
          <w:rFonts w:hint="eastAsia"/>
        </w:rPr>
        <w:t>50</w:t>
      </w:r>
      <w:r>
        <w:rPr>
          <w:rFonts w:hint="eastAsia"/>
        </w:rPr>
        <w:t>岁和</w:t>
      </w:r>
      <w:r>
        <w:rPr>
          <w:rFonts w:hint="eastAsia"/>
        </w:rPr>
        <w:t>30</w:t>
      </w:r>
      <w:r>
        <w:rPr>
          <w:rFonts w:hint="eastAsia"/>
        </w:rPr>
        <w:t>年应计养恤金</w:t>
      </w:r>
      <w:r>
        <w:rPr>
          <w:rFonts w:hint="eastAsia"/>
        </w:rPr>
        <w:t>17(</w:t>
      </w:r>
      <w:r>
        <w:rPr>
          <w:rFonts w:hint="eastAsia"/>
        </w:rPr>
        <w:t>女性</w:t>
      </w:r>
      <w:r>
        <w:rPr>
          <w:rFonts w:hint="eastAsia"/>
        </w:rPr>
        <w:t>)</w:t>
      </w:r>
      <w:r>
        <w:rPr>
          <w:rFonts w:hint="eastAsia"/>
        </w:rPr>
        <w:t>，每一日历年在年龄上增加</w:t>
      </w:r>
      <w:r>
        <w:rPr>
          <w:rFonts w:hint="eastAsia"/>
        </w:rPr>
        <w:t>6</w:t>
      </w:r>
      <w:r>
        <w:rPr>
          <w:rFonts w:hint="eastAsia"/>
        </w:rPr>
        <w:t>个月。</w:t>
      </w:r>
      <w:r>
        <w:rPr>
          <w:rFonts w:hint="eastAsia"/>
        </w:rPr>
        <w:t>)</w:t>
      </w:r>
    </w:p>
    <w:p w:rsidR="00000000" w:rsidRDefault="00000000">
      <w:pPr>
        <w:rPr>
          <w:rFonts w:hint="eastAsia"/>
        </w:rPr>
      </w:pPr>
      <w:r>
        <w:rPr>
          <w:rFonts w:hint="eastAsia"/>
        </w:rPr>
        <w:tab/>
      </w:r>
      <w:r>
        <w:rPr>
          <w:rFonts w:hint="eastAsia"/>
          <w:u w:val="single"/>
        </w:rPr>
        <w:t>残疾津贴</w:t>
      </w:r>
      <w:r>
        <w:rPr>
          <w:rFonts w:hint="eastAsia"/>
        </w:rPr>
        <w:t>：残疾</w:t>
      </w:r>
      <w:r>
        <w:rPr>
          <w:rFonts w:hint="eastAsia"/>
          <w:spacing w:val="-40"/>
          <w:sz w:val="22"/>
        </w:rPr>
        <w:t>——</w:t>
      </w:r>
      <w:r>
        <w:rPr>
          <w:sz w:val="22"/>
        </w:rPr>
        <w:t xml:space="preserve"> </w:t>
      </w:r>
      <w:r>
        <w:rPr>
          <w:rFonts w:hint="eastAsia"/>
        </w:rPr>
        <w:t>因非工伤或非职业病或者工伤或职业病造成的长期降低或丧失工作能力。无专门的工伤计划</w:t>
      </w:r>
      <w:r>
        <w:rPr>
          <w:rFonts w:hint="eastAsia"/>
          <w:spacing w:val="-40"/>
          <w:sz w:val="22"/>
        </w:rPr>
        <w:t>——</w:t>
      </w:r>
      <w:r>
        <w:rPr>
          <w:sz w:val="22"/>
        </w:rPr>
        <w:t xml:space="preserve"> </w:t>
      </w:r>
      <w:r>
        <w:rPr>
          <w:rFonts w:hint="eastAsia"/>
        </w:rPr>
        <w:t>按较优惠的条件用第一支柱普通养恤金计划提供工伤或职业病津贴。</w:t>
      </w:r>
      <w:r>
        <w:rPr>
          <w:rFonts w:hint="eastAsia"/>
          <w:u w:val="single"/>
        </w:rPr>
        <w:t>工伤残疾</w:t>
      </w:r>
      <w:r>
        <w:rPr>
          <w:rFonts w:hint="eastAsia"/>
          <w:spacing w:val="-40"/>
          <w:sz w:val="22"/>
        </w:rPr>
        <w:t>——</w:t>
      </w:r>
      <w:r>
        <w:rPr>
          <w:sz w:val="22"/>
        </w:rPr>
        <w:t xml:space="preserve"> </w:t>
      </w:r>
      <w:r>
        <w:rPr>
          <w:rFonts w:hint="eastAsia"/>
        </w:rPr>
        <w:t>因不能治愈的健康变化以同等或类似教育和能力的身心健康者永久性减少一半以上的工作能力。剩余工作能力津贴：工伤残疾的职业康复或残疾养恤金。</w:t>
      </w:r>
      <w:r>
        <w:rPr>
          <w:rFonts w:hint="eastAsia"/>
          <w:u w:val="single"/>
        </w:rPr>
        <w:t>普通残疾</w:t>
      </w:r>
      <w:r>
        <w:rPr>
          <w:rFonts w:hint="eastAsia"/>
          <w:spacing w:val="-40"/>
          <w:sz w:val="22"/>
        </w:rPr>
        <w:t>——</w:t>
      </w:r>
      <w:r>
        <w:rPr>
          <w:sz w:val="22"/>
        </w:rPr>
        <w:t xml:space="preserve"> </w:t>
      </w:r>
      <w:r>
        <w:rPr>
          <w:rFonts w:hint="eastAsia"/>
        </w:rPr>
        <w:t>因无法治愈的健康变化引起的永久性残疾工作能力。普通残疾津贴：普通残疾养恤金。残疾状况由授权的医疗专家评估。每四年作一次检查。</w:t>
      </w:r>
    </w:p>
    <w:p w:rsidR="00000000" w:rsidRDefault="00000000">
      <w:pPr>
        <w:rPr>
          <w:rFonts w:hint="eastAsia"/>
        </w:rPr>
      </w:pPr>
      <w:r>
        <w:rPr>
          <w:rFonts w:hint="eastAsia"/>
        </w:rPr>
        <w:tab/>
      </w:r>
      <w:r>
        <w:rPr>
          <w:rFonts w:hint="eastAsia"/>
          <w:u w:val="single"/>
        </w:rPr>
        <w:t>剩余工作能力津贴</w:t>
      </w:r>
      <w:r>
        <w:rPr>
          <w:rFonts w:hint="eastAsia"/>
        </w:rPr>
        <w:t>：职业康复和工资补偿，直到就业于另一适当的职业，或者在完成职业康复后</w:t>
      </w:r>
      <w:r>
        <w:rPr>
          <w:rFonts w:hint="eastAsia"/>
        </w:rPr>
        <w:t>12</w:t>
      </w:r>
      <w:r>
        <w:rPr>
          <w:rFonts w:hint="eastAsia"/>
        </w:rPr>
        <w:t>个月的失业期间</w:t>
      </w:r>
      <w:r>
        <w:rPr>
          <w:rFonts w:hint="eastAsia"/>
        </w:rPr>
        <w:t>(</w:t>
      </w:r>
      <w:r>
        <w:rPr>
          <w:rFonts w:hint="eastAsia"/>
        </w:rPr>
        <w:t>如果是因工伤或职业病造成的残疾，则为</w:t>
      </w:r>
      <w:r>
        <w:rPr>
          <w:rFonts w:hint="eastAsia"/>
        </w:rPr>
        <w:t>24</w:t>
      </w:r>
      <w:r>
        <w:rPr>
          <w:rFonts w:hint="eastAsia"/>
        </w:rPr>
        <w:t>个月</w:t>
      </w:r>
      <w:r>
        <w:rPr>
          <w:rFonts w:hint="eastAsia"/>
        </w:rPr>
        <w:t>)</w:t>
      </w:r>
      <w:r>
        <w:rPr>
          <w:rFonts w:hint="eastAsia"/>
        </w:rPr>
        <w:t>。工伤残疾的残疾养恤金</w:t>
      </w:r>
      <w:r>
        <w:rPr>
          <w:rFonts w:hint="eastAsia"/>
          <w:spacing w:val="-40"/>
          <w:sz w:val="22"/>
        </w:rPr>
        <w:t>——</w:t>
      </w:r>
      <w:r>
        <w:rPr>
          <w:sz w:val="22"/>
        </w:rPr>
        <w:t xml:space="preserve"> </w:t>
      </w:r>
      <w:r>
        <w:rPr>
          <w:rFonts w:hint="eastAsia"/>
        </w:rPr>
        <w:t>如果残疾人失业，享受全额、如果就业，则减少金额；如果是因工伤或职业病造成的残疾，则提高金额，但也要看残疾人是否就业。下文“残疾养恤金”和“津贴计算法”</w:t>
      </w:r>
      <w:r>
        <w:rPr>
          <w:rFonts w:hint="eastAsia"/>
        </w:rPr>
        <w:t>(</w:t>
      </w:r>
      <w:r>
        <w:rPr>
          <w:rFonts w:hint="eastAsia"/>
        </w:rPr>
        <w:t>养恤金系数</w:t>
      </w:r>
      <w:r>
        <w:rPr>
          <w:rFonts w:hint="eastAsia"/>
        </w:rPr>
        <w:t>)</w:t>
      </w:r>
      <w:r>
        <w:rPr>
          <w:rFonts w:hint="eastAsia"/>
        </w:rPr>
        <w:t>将作进一步解释。</w:t>
      </w:r>
    </w:p>
    <w:p w:rsidR="00000000" w:rsidRDefault="00000000">
      <w:pPr>
        <w:rPr>
          <w:rFonts w:hint="eastAsia"/>
        </w:rPr>
      </w:pPr>
      <w:r>
        <w:rPr>
          <w:rFonts w:hint="eastAsia"/>
        </w:rPr>
        <w:tab/>
      </w:r>
      <w:r>
        <w:rPr>
          <w:rFonts w:hint="eastAsia"/>
          <w:u w:val="single"/>
        </w:rPr>
        <w:t>残疾养恤金</w:t>
      </w:r>
      <w:r>
        <w:rPr>
          <w:rFonts w:hint="eastAsia"/>
        </w:rPr>
        <w:t>：按</w:t>
      </w:r>
      <w:r>
        <w:rPr>
          <w:rFonts w:hint="eastAsia"/>
        </w:rPr>
        <w:t>65</w:t>
      </w:r>
      <w:r>
        <w:rPr>
          <w:rFonts w:hint="eastAsia"/>
        </w:rPr>
        <w:t>岁</w:t>
      </w:r>
      <w:r>
        <w:rPr>
          <w:rFonts w:hint="eastAsia"/>
        </w:rPr>
        <w:t>(</w:t>
      </w:r>
      <w:r>
        <w:rPr>
          <w:rFonts w:hint="eastAsia"/>
        </w:rPr>
        <w:t>男性</w:t>
      </w:r>
      <w:r>
        <w:rPr>
          <w:rFonts w:hint="eastAsia"/>
        </w:rPr>
        <w:t>)</w:t>
      </w:r>
      <w:r>
        <w:rPr>
          <w:rFonts w:hint="eastAsia"/>
        </w:rPr>
        <w:t>或</w:t>
      </w:r>
      <w:r>
        <w:rPr>
          <w:rFonts w:hint="eastAsia"/>
        </w:rPr>
        <w:t>60</w:t>
      </w:r>
      <w:r>
        <w:rPr>
          <w:rFonts w:hint="eastAsia"/>
        </w:rPr>
        <w:t>岁</w:t>
      </w:r>
      <w:r>
        <w:rPr>
          <w:rFonts w:hint="eastAsia"/>
        </w:rPr>
        <w:t>(</w:t>
      </w:r>
      <w:r>
        <w:rPr>
          <w:rFonts w:hint="eastAsia"/>
        </w:rPr>
        <w:t>女性</w:t>
      </w:r>
      <w:r>
        <w:rPr>
          <w:rFonts w:hint="eastAsia"/>
        </w:rPr>
        <w:t>)</w:t>
      </w:r>
      <w:r>
        <w:rPr>
          <w:rFonts w:hint="eastAsia"/>
        </w:rPr>
        <w:t>前发生的工伤或普通残疾发放，但条件是工作寿命期中至少有三分之一包括在合格期内</w:t>
      </w:r>
      <w:r>
        <w:rPr>
          <w:rFonts w:hint="eastAsia"/>
        </w:rPr>
        <w:t>(</w:t>
      </w:r>
      <w:r>
        <w:rPr>
          <w:rFonts w:hint="eastAsia"/>
        </w:rPr>
        <w:t>对</w:t>
      </w:r>
      <w:r>
        <w:rPr>
          <w:rFonts w:hint="eastAsia"/>
        </w:rPr>
        <w:t>30</w:t>
      </w:r>
      <w:r>
        <w:rPr>
          <w:rFonts w:hint="eastAsia"/>
        </w:rPr>
        <w:t>或</w:t>
      </w:r>
      <w:r>
        <w:rPr>
          <w:rFonts w:hint="eastAsia"/>
        </w:rPr>
        <w:t>35</w:t>
      </w:r>
      <w:r>
        <w:rPr>
          <w:rFonts w:hint="eastAsia"/>
        </w:rPr>
        <w:t>岁以下的人条件较优惠</w:t>
      </w:r>
      <w:r>
        <w:rPr>
          <w:rFonts w:hint="eastAsia"/>
        </w:rPr>
        <w:t>)</w:t>
      </w:r>
      <w:r>
        <w:rPr>
          <w:rFonts w:hint="eastAsia"/>
        </w:rPr>
        <w:t>。工作寿命期</w:t>
      </w:r>
      <w:r>
        <w:rPr>
          <w:rFonts w:hint="eastAsia"/>
          <w:spacing w:val="-40"/>
          <w:sz w:val="22"/>
        </w:rPr>
        <w:t>——</w:t>
      </w:r>
      <w:r>
        <w:rPr>
          <w:sz w:val="22"/>
        </w:rPr>
        <w:t xml:space="preserve"> </w:t>
      </w:r>
      <w:r>
        <w:rPr>
          <w:rFonts w:hint="eastAsia"/>
        </w:rPr>
        <w:t>20</w:t>
      </w:r>
      <w:r>
        <w:rPr>
          <w:rFonts w:hint="eastAsia"/>
        </w:rPr>
        <w:t>岁</w:t>
      </w:r>
      <w:r>
        <w:rPr>
          <w:rFonts w:hint="eastAsia"/>
        </w:rPr>
        <w:t>(</w:t>
      </w:r>
      <w:r>
        <w:rPr>
          <w:rFonts w:hint="eastAsia"/>
        </w:rPr>
        <w:t>获得中学后资格的人为</w:t>
      </w:r>
      <w:r>
        <w:rPr>
          <w:rFonts w:hint="eastAsia"/>
        </w:rPr>
        <w:t>23</w:t>
      </w:r>
      <w:r>
        <w:rPr>
          <w:rFonts w:hint="eastAsia"/>
        </w:rPr>
        <w:t>岁，获得大学资格的人为</w:t>
      </w:r>
      <w:r>
        <w:rPr>
          <w:rFonts w:hint="eastAsia"/>
        </w:rPr>
        <w:t>26</w:t>
      </w:r>
      <w:r>
        <w:rPr>
          <w:rFonts w:hint="eastAsia"/>
        </w:rPr>
        <w:t>岁</w:t>
      </w:r>
      <w:r>
        <w:rPr>
          <w:rFonts w:hint="eastAsia"/>
        </w:rPr>
        <w:t>)</w:t>
      </w:r>
      <w:r>
        <w:rPr>
          <w:rFonts w:hint="eastAsia"/>
        </w:rPr>
        <w:t>直到残疾之日的全部年份。因工伤或职业病发放的残疾养恤金</w:t>
      </w:r>
      <w:r>
        <w:rPr>
          <w:rFonts w:hint="eastAsia"/>
          <w:spacing w:val="-40"/>
          <w:sz w:val="22"/>
        </w:rPr>
        <w:t>——</w:t>
      </w:r>
      <w:r>
        <w:rPr>
          <w:sz w:val="22"/>
        </w:rPr>
        <w:t xml:space="preserve"> </w:t>
      </w:r>
      <w:r>
        <w:rPr>
          <w:rFonts w:hint="eastAsia"/>
        </w:rPr>
        <w:t>津贴不按完成的合格期长短为条件。</w:t>
      </w:r>
    </w:p>
    <w:p w:rsidR="00000000" w:rsidRDefault="00000000">
      <w:pPr>
        <w:rPr>
          <w:rFonts w:hint="eastAsia"/>
        </w:rPr>
      </w:pPr>
      <w:r>
        <w:rPr>
          <w:rFonts w:hint="eastAsia"/>
        </w:rPr>
        <w:tab/>
      </w:r>
      <w:r>
        <w:rPr>
          <w:rFonts w:hint="eastAsia"/>
          <w:u w:val="single"/>
        </w:rPr>
        <w:t>身体伤害赔偿金</w:t>
      </w:r>
      <w:r>
        <w:rPr>
          <w:rFonts w:hint="eastAsia"/>
        </w:rPr>
        <w:t>：身体伤害的定义是，器官或身体某部分的丧失或重伤，不管是否造成残疾。如果身体伤害达</w:t>
      </w:r>
      <w:r>
        <w:rPr>
          <w:rFonts w:hint="eastAsia"/>
        </w:rPr>
        <w:t>30%</w:t>
      </w:r>
      <w:r>
        <w:rPr>
          <w:rFonts w:hint="eastAsia"/>
        </w:rPr>
        <w:t>以上是由于工伤或职业病造成，可以获得补偿津贴。这笔金额在保险期间</w:t>
      </w:r>
      <w:r>
        <w:rPr>
          <w:rFonts w:hint="eastAsia"/>
        </w:rPr>
        <w:t>(</w:t>
      </w:r>
      <w:r>
        <w:rPr>
          <w:rFonts w:hint="eastAsia"/>
        </w:rPr>
        <w:t>就业或自营职业</w:t>
      </w:r>
      <w:r>
        <w:rPr>
          <w:rFonts w:hint="eastAsia"/>
        </w:rPr>
        <w:t>)</w:t>
      </w:r>
      <w:r>
        <w:rPr>
          <w:rFonts w:hint="eastAsia"/>
        </w:rPr>
        <w:t>获得，用于一生；它不取决于完成的合格期。</w:t>
      </w:r>
    </w:p>
    <w:p w:rsidR="00000000" w:rsidRDefault="00000000">
      <w:pPr>
        <w:spacing w:after="320"/>
        <w:rPr>
          <w:rFonts w:hint="eastAsia"/>
        </w:rPr>
      </w:pPr>
      <w:r>
        <w:rPr>
          <w:rFonts w:hint="eastAsia"/>
        </w:rPr>
        <w:tab/>
      </w:r>
      <w:r>
        <w:rPr>
          <w:rFonts w:hint="eastAsia"/>
          <w:u w:val="single"/>
        </w:rPr>
        <w:t>遗属养恤金</w:t>
      </w:r>
      <w:r>
        <w:rPr>
          <w:rFonts w:hint="eastAsia"/>
        </w:rPr>
        <w:t>：死者是养恤金或职业康复受益人，或者是至少完成</w:t>
      </w:r>
      <w:r>
        <w:rPr>
          <w:rFonts w:hint="eastAsia"/>
        </w:rPr>
        <w:t>5</w:t>
      </w:r>
      <w:r>
        <w:rPr>
          <w:rFonts w:hint="eastAsia"/>
        </w:rPr>
        <w:t>年保险或</w:t>
      </w:r>
      <w:r>
        <w:rPr>
          <w:rFonts w:hint="eastAsia"/>
        </w:rPr>
        <w:t>10</w:t>
      </w:r>
      <w:r>
        <w:rPr>
          <w:rFonts w:hint="eastAsia"/>
        </w:rPr>
        <w:t>年合格期或者在完成的合格期方面达到残疾养恤金要求的被保险人。如果因工伤或职业病造成死亡</w:t>
      </w:r>
      <w:r>
        <w:rPr>
          <w:rFonts w:hint="eastAsia"/>
          <w:spacing w:val="-40"/>
          <w:sz w:val="22"/>
        </w:rPr>
        <w:t>——</w:t>
      </w:r>
      <w:r>
        <w:rPr>
          <w:sz w:val="22"/>
        </w:rPr>
        <w:t xml:space="preserve"> </w:t>
      </w:r>
      <w:r>
        <w:rPr>
          <w:rFonts w:hint="eastAsia"/>
        </w:rPr>
        <w:t>不要求最低合格期。有资格享受遗属养恤金的遗属：年满</w:t>
      </w:r>
      <w:r>
        <w:rPr>
          <w:rFonts w:hint="eastAsia"/>
        </w:rPr>
        <w:t>50</w:t>
      </w:r>
      <w:r>
        <w:rPr>
          <w:rFonts w:hint="eastAsia"/>
        </w:rPr>
        <w:t>岁、照顾有权享受遗属养恤金的儿童的或者残疾的寡妇或鳏夫；年满</w:t>
      </w:r>
      <w:r>
        <w:rPr>
          <w:rFonts w:hint="eastAsia"/>
        </w:rPr>
        <w:t>45</w:t>
      </w:r>
      <w:r>
        <w:rPr>
          <w:rFonts w:hint="eastAsia"/>
        </w:rPr>
        <w:t>岁的寡妇在满</w:t>
      </w:r>
      <w:r>
        <w:rPr>
          <w:rFonts w:hint="eastAsia"/>
        </w:rPr>
        <w:t>50</w:t>
      </w:r>
      <w:r>
        <w:rPr>
          <w:rFonts w:hint="eastAsia"/>
        </w:rPr>
        <w:t>岁时获得这笔养恤金。离婚配偶，如果有权得到赡养费，则按所述的条件，</w:t>
      </w:r>
      <w:r>
        <w:rPr>
          <w:rFonts w:hint="eastAsia"/>
        </w:rPr>
        <w:t>15</w:t>
      </w:r>
      <w:r>
        <w:rPr>
          <w:rFonts w:hint="eastAsia"/>
        </w:rPr>
        <w:t>岁以下儿童，如果未就业，</w:t>
      </w:r>
      <w:r>
        <w:rPr>
          <w:rFonts w:hint="eastAsia"/>
        </w:rPr>
        <w:t>18</w:t>
      </w:r>
      <w:r>
        <w:rPr>
          <w:rFonts w:hint="eastAsia"/>
        </w:rPr>
        <w:t>岁以下，如果在接受正规教育，</w:t>
      </w:r>
      <w:r>
        <w:rPr>
          <w:rFonts w:hint="eastAsia"/>
        </w:rPr>
        <w:t>26</w:t>
      </w:r>
      <w:r>
        <w:rPr>
          <w:rFonts w:hint="eastAsia"/>
        </w:rPr>
        <w:t>岁以下，如果残疾，则可终生享受。儿童：婚生、婚外所生和收养；继子女、孙子女和其他子女，条件是由死者赡养的。以及父母，如果由死者赡养。</w:t>
      </w:r>
      <w:r>
        <w:rPr>
          <w:rFonts w:hint="eastAsia"/>
        </w:rPr>
        <w:t>(</w:t>
      </w:r>
      <w:r>
        <w:rPr>
          <w:rFonts w:hint="eastAsia"/>
        </w:rPr>
        <w:t>孤儿的遗属养恤金：见“津贴计算法”标题下的养恤金系数。</w:t>
      </w:r>
      <w:r>
        <w:rPr>
          <w:rFonts w:hint="eastAsia"/>
        </w:rPr>
        <w:t>)</w:t>
      </w:r>
    </w:p>
    <w:p w:rsidR="00000000" w:rsidRDefault="00000000">
      <w:pPr>
        <w:pStyle w:val="Heading3"/>
        <w:rPr>
          <w:rFonts w:hint="eastAsia"/>
        </w:rPr>
      </w:pPr>
      <w:r>
        <w:rPr>
          <w:rFonts w:hint="eastAsia"/>
          <w:u w:val="none"/>
        </w:rPr>
        <w:t xml:space="preserve">E.  </w:t>
      </w:r>
      <w:r>
        <w:rPr>
          <w:rFonts w:hint="eastAsia"/>
        </w:rPr>
        <w:t>津贴付款</w:t>
      </w:r>
    </w:p>
    <w:p w:rsidR="00000000" w:rsidRDefault="00000000">
      <w:pPr>
        <w:spacing w:after="320"/>
        <w:rPr>
          <w:rFonts w:hint="eastAsia"/>
        </w:rPr>
      </w:pPr>
      <w:r>
        <w:rPr>
          <w:rFonts w:hint="eastAsia"/>
        </w:rPr>
        <w:tab/>
      </w:r>
      <w:r>
        <w:rPr>
          <w:rFonts w:hint="eastAsia"/>
        </w:rPr>
        <w:t>津贴按月支付，追溯至前一个月。除工伤残疾养恤金和因身体伤害可予补偿的津贴外，养恤金津贴可支付给在具有保险地位的就业或自营职业期间有权享受的人。所有津贴可按互换条件或根据国际协议付往国外，不实行付款或津贴额限制。</w:t>
      </w:r>
    </w:p>
    <w:p w:rsidR="00000000" w:rsidRDefault="00000000">
      <w:pPr>
        <w:pStyle w:val="Heading3"/>
        <w:rPr>
          <w:rFonts w:hint="eastAsia"/>
        </w:rPr>
      </w:pPr>
      <w:r>
        <w:rPr>
          <w:rFonts w:hint="eastAsia"/>
          <w:u w:val="none"/>
        </w:rPr>
        <w:t xml:space="preserve">F.  </w:t>
      </w:r>
      <w:r>
        <w:rPr>
          <w:rFonts w:hint="eastAsia"/>
        </w:rPr>
        <w:t>合格期</w:t>
      </w:r>
    </w:p>
    <w:p w:rsidR="00000000" w:rsidRDefault="00000000">
      <w:pPr>
        <w:rPr>
          <w:rFonts w:hint="eastAsia"/>
        </w:rPr>
      </w:pPr>
      <w:r>
        <w:rPr>
          <w:rFonts w:hint="eastAsia"/>
        </w:rPr>
        <w:tab/>
      </w:r>
      <w:r>
        <w:rPr>
          <w:rFonts w:hint="eastAsia"/>
          <w:u w:val="single"/>
        </w:rPr>
        <w:t>合格期</w:t>
      </w:r>
      <w:r>
        <w:rPr>
          <w:rFonts w:hint="eastAsia"/>
        </w:rPr>
        <w:t>：保险期、军人保险、按特别条件的购买期、在卫国战争中的服役期、在天主教神学院的就业期、旧立法承认为合格期的</w:t>
      </w:r>
      <w:r>
        <w:rPr>
          <w:rFonts w:hint="eastAsia"/>
        </w:rPr>
        <w:t>1998</w:t>
      </w:r>
      <w:r>
        <w:rPr>
          <w:rFonts w:hint="eastAsia"/>
        </w:rPr>
        <w:t>年</w:t>
      </w:r>
      <w:r>
        <w:rPr>
          <w:rFonts w:hint="eastAsia"/>
        </w:rPr>
        <w:t>12</w:t>
      </w:r>
      <w:r>
        <w:rPr>
          <w:rFonts w:hint="eastAsia"/>
        </w:rPr>
        <w:t>月</w:t>
      </w:r>
      <w:r>
        <w:rPr>
          <w:rFonts w:hint="eastAsia"/>
        </w:rPr>
        <w:t>31</w:t>
      </w:r>
      <w:r>
        <w:rPr>
          <w:rFonts w:hint="eastAsia"/>
        </w:rPr>
        <w:t>日前完成的时期。</w:t>
      </w:r>
    </w:p>
    <w:p w:rsidR="00000000" w:rsidRDefault="00000000">
      <w:pPr>
        <w:spacing w:after="320"/>
        <w:rPr>
          <w:rFonts w:hint="eastAsia"/>
        </w:rPr>
      </w:pPr>
      <w:r>
        <w:rPr>
          <w:rFonts w:hint="eastAsia"/>
        </w:rPr>
        <w:tab/>
      </w:r>
      <w:r>
        <w:rPr>
          <w:rFonts w:hint="eastAsia"/>
          <w:u w:val="single"/>
        </w:rPr>
        <w:t>保险期</w:t>
      </w:r>
      <w:r>
        <w:rPr>
          <w:rFonts w:hint="eastAsia"/>
        </w:rPr>
        <w:t>：全日制就业和</w:t>
      </w:r>
      <w:r>
        <w:rPr>
          <w:rFonts w:hint="eastAsia"/>
        </w:rPr>
        <w:t>/</w:t>
      </w:r>
      <w:r>
        <w:rPr>
          <w:rFonts w:hint="eastAsia"/>
        </w:rPr>
        <w:t>或自营职业期，年满</w:t>
      </w:r>
      <w:r>
        <w:rPr>
          <w:rFonts w:hint="eastAsia"/>
        </w:rPr>
        <w:t>15</w:t>
      </w:r>
      <w:r>
        <w:rPr>
          <w:rFonts w:hint="eastAsia"/>
        </w:rPr>
        <w:t>岁后完成的，扩大保险期、在病假或职业康复时完成的时期；条件是交保险费。全日制就业：每星期</w:t>
      </w:r>
      <w:r>
        <w:rPr>
          <w:rFonts w:hint="eastAsia"/>
        </w:rPr>
        <w:t>42</w:t>
      </w:r>
      <w:r>
        <w:rPr>
          <w:rFonts w:hint="eastAsia"/>
        </w:rPr>
        <w:t>个小时。部分时间就业、季节性和临时就业钟点数按专门条件重新计算成全日制就业钟点。</w:t>
      </w:r>
    </w:p>
    <w:p w:rsidR="00000000" w:rsidRDefault="00000000">
      <w:pPr>
        <w:pStyle w:val="Heading3"/>
        <w:rPr>
          <w:rFonts w:hint="eastAsia"/>
        </w:rPr>
      </w:pPr>
      <w:r>
        <w:rPr>
          <w:rFonts w:hint="eastAsia"/>
          <w:u w:val="none"/>
        </w:rPr>
        <w:t xml:space="preserve">G.  </w:t>
      </w:r>
      <w:r>
        <w:rPr>
          <w:rFonts w:hint="eastAsia"/>
        </w:rPr>
        <w:t>养恤金计算法以及第一支柱和第二支柱之间的联系</w:t>
      </w:r>
    </w:p>
    <w:p w:rsidR="00000000" w:rsidRDefault="00000000">
      <w:pPr>
        <w:rPr>
          <w:rFonts w:hint="eastAsia"/>
        </w:rPr>
      </w:pPr>
      <w:r>
        <w:rPr>
          <w:rFonts w:hint="eastAsia"/>
        </w:rPr>
        <w:tab/>
      </w:r>
      <w:r>
        <w:rPr>
          <w:rFonts w:hint="eastAsia"/>
        </w:rPr>
        <w:t>第一支柱的正常和基本养恤金之间的关系</w:t>
      </w:r>
      <w:r>
        <w:rPr>
          <w:rFonts w:hint="eastAsia"/>
          <w:spacing w:val="-40"/>
          <w:sz w:val="22"/>
        </w:rPr>
        <w:t>——</w:t>
      </w:r>
      <w:r>
        <w:rPr>
          <w:sz w:val="22"/>
        </w:rPr>
        <w:t xml:space="preserve"> </w:t>
      </w:r>
      <w:r>
        <w:rPr>
          <w:rFonts w:hint="eastAsia"/>
        </w:rPr>
        <w:t>有如下三种情形。</w:t>
      </w:r>
    </w:p>
    <w:p w:rsidR="00000000" w:rsidRDefault="00000000">
      <w:pPr>
        <w:rPr>
          <w:rFonts w:hint="eastAsia"/>
        </w:rPr>
      </w:pPr>
      <w:r>
        <w:rPr>
          <w:rFonts w:hint="eastAsia"/>
        </w:rPr>
        <w:tab/>
        <w:t xml:space="preserve">1.  </w:t>
      </w:r>
      <w:r>
        <w:rPr>
          <w:rFonts w:hint="eastAsia"/>
        </w:rPr>
        <w:t>如果受益人没有同时在第二支柱内额外投保，正常养恤金</w:t>
      </w:r>
      <w:r>
        <w:rPr>
          <w:rFonts w:hint="eastAsia"/>
        </w:rPr>
        <w:t>(</w:t>
      </w:r>
      <w:r>
        <w:rPr>
          <w:rFonts w:hint="eastAsia"/>
        </w:rPr>
        <w:t>老年、预付、残疾和遗属养恤金</w:t>
      </w:r>
      <w:r>
        <w:rPr>
          <w:rFonts w:hint="eastAsia"/>
        </w:rPr>
        <w:t>)</w:t>
      </w:r>
      <w:r>
        <w:rPr>
          <w:rFonts w:hint="eastAsia"/>
        </w:rPr>
        <w:t>可按在第一支柱内完成的保险期支付。所述的保险期包括实行第二支柱保险之日前完成的时期，计</w:t>
      </w:r>
      <w:r>
        <w:rPr>
          <w:rFonts w:hint="eastAsia"/>
        </w:rPr>
        <w:t>2000</w:t>
      </w:r>
      <w:r>
        <w:rPr>
          <w:rFonts w:hint="eastAsia"/>
        </w:rPr>
        <w:t>年</w:t>
      </w:r>
      <w:r>
        <w:rPr>
          <w:rFonts w:hint="eastAsia"/>
        </w:rPr>
        <w:t>6</w:t>
      </w:r>
      <w:r>
        <w:rPr>
          <w:rFonts w:hint="eastAsia"/>
        </w:rPr>
        <w:t>月</w:t>
      </w:r>
      <w:r>
        <w:rPr>
          <w:rFonts w:hint="eastAsia"/>
        </w:rPr>
        <w:t>30</w:t>
      </w:r>
      <w:r>
        <w:rPr>
          <w:rFonts w:hint="eastAsia"/>
        </w:rPr>
        <w:t>日前，以及该日期之后，但条件是，有关的人没有在第二支柱中强制保险</w:t>
      </w:r>
      <w:r>
        <w:rPr>
          <w:rFonts w:hint="eastAsia"/>
        </w:rPr>
        <w:t>(40</w:t>
      </w:r>
      <w:r>
        <w:rPr>
          <w:rFonts w:hint="eastAsia"/>
        </w:rPr>
        <w:t>或</w:t>
      </w:r>
      <w:r>
        <w:rPr>
          <w:rFonts w:hint="eastAsia"/>
        </w:rPr>
        <w:t>50</w:t>
      </w:r>
      <w:r>
        <w:rPr>
          <w:rFonts w:hint="eastAsia"/>
        </w:rPr>
        <w:t>岁以上</w:t>
      </w:r>
      <w:r>
        <w:rPr>
          <w:rFonts w:hint="eastAsia"/>
        </w:rPr>
        <w:t>)</w:t>
      </w:r>
      <w:r>
        <w:rPr>
          <w:rFonts w:hint="eastAsia"/>
        </w:rPr>
        <w:t>，即如果他</w:t>
      </w:r>
      <w:r>
        <w:rPr>
          <w:rFonts w:hint="eastAsia"/>
        </w:rPr>
        <w:t>/</w:t>
      </w:r>
      <w:r>
        <w:rPr>
          <w:rFonts w:hint="eastAsia"/>
        </w:rPr>
        <w:t>她只有在第一支柱内投保时完成全部工作期。这类人只能从第一支柱养恤金保险中发给正常养恤金。</w:t>
      </w:r>
    </w:p>
    <w:p w:rsidR="00000000" w:rsidRDefault="00000000">
      <w:pPr>
        <w:rPr>
          <w:rFonts w:hint="eastAsia"/>
        </w:rPr>
      </w:pPr>
      <w:r>
        <w:rPr>
          <w:rFonts w:hint="eastAsia"/>
        </w:rPr>
        <w:tab/>
        <w:t>2.  2000</w:t>
      </w:r>
      <w:r>
        <w:rPr>
          <w:rFonts w:hint="eastAsia"/>
        </w:rPr>
        <w:t>年</w:t>
      </w:r>
      <w:r>
        <w:rPr>
          <w:rFonts w:hint="eastAsia"/>
        </w:rPr>
        <w:t>6</w:t>
      </w:r>
      <w:r>
        <w:rPr>
          <w:rFonts w:hint="eastAsia"/>
        </w:rPr>
        <w:t>月</w:t>
      </w:r>
      <w:r>
        <w:rPr>
          <w:rFonts w:hint="eastAsia"/>
        </w:rPr>
        <w:t>30</w:t>
      </w:r>
      <w:r>
        <w:rPr>
          <w:rFonts w:hint="eastAsia"/>
        </w:rPr>
        <w:t>日前在第一支柱内保险的人，凡将在</w:t>
      </w:r>
      <w:r>
        <w:rPr>
          <w:rFonts w:hint="eastAsia"/>
        </w:rPr>
        <w:t>2000</w:t>
      </w:r>
      <w:r>
        <w:rPr>
          <w:rFonts w:hint="eastAsia"/>
        </w:rPr>
        <w:t>年</w:t>
      </w:r>
      <w:r>
        <w:rPr>
          <w:rFonts w:hint="eastAsia"/>
        </w:rPr>
        <w:t>7</w:t>
      </w:r>
      <w:r>
        <w:rPr>
          <w:rFonts w:hint="eastAsia"/>
        </w:rPr>
        <w:t>月</w:t>
      </w:r>
      <w:r>
        <w:rPr>
          <w:rFonts w:hint="eastAsia"/>
        </w:rPr>
        <w:t>1</w:t>
      </w:r>
      <w:r>
        <w:rPr>
          <w:rFonts w:hint="eastAsia"/>
        </w:rPr>
        <w:t>日后必须在第二支柱内作额外强制性保险的，将发给老年和预付养恤金，这笔养恤金有</w:t>
      </w:r>
      <w:r>
        <w:rPr>
          <w:rFonts w:hint="eastAsia"/>
        </w:rPr>
        <w:t>3</w:t>
      </w:r>
      <w:r>
        <w:rPr>
          <w:rFonts w:hint="eastAsia"/>
        </w:rPr>
        <w:t>笔金额组成：</w:t>
      </w:r>
      <w:r>
        <w:t>(a)</w:t>
      </w:r>
      <w:r>
        <w:rPr>
          <w:rFonts w:hint="eastAsia"/>
        </w:rPr>
        <w:t xml:space="preserve"> 2000</w:t>
      </w:r>
      <w:r>
        <w:rPr>
          <w:rFonts w:hint="eastAsia"/>
        </w:rPr>
        <w:t>年</w:t>
      </w:r>
      <w:r>
        <w:rPr>
          <w:rFonts w:hint="eastAsia"/>
        </w:rPr>
        <w:t>6</w:t>
      </w:r>
      <w:r>
        <w:rPr>
          <w:rFonts w:hint="eastAsia"/>
        </w:rPr>
        <w:t>月</w:t>
      </w:r>
      <w:r>
        <w:rPr>
          <w:rFonts w:hint="eastAsia"/>
        </w:rPr>
        <w:t>30</w:t>
      </w:r>
      <w:r>
        <w:rPr>
          <w:rFonts w:hint="eastAsia"/>
        </w:rPr>
        <w:t>日前完成的日期的第一支柱正常养恤金，</w:t>
      </w:r>
      <w:r>
        <w:t>(b)</w:t>
      </w:r>
      <w:r>
        <w:rPr>
          <w:rFonts w:hint="eastAsia"/>
        </w:rPr>
        <w:t xml:space="preserve"> 2000</w:t>
      </w:r>
      <w:r>
        <w:rPr>
          <w:rFonts w:hint="eastAsia"/>
        </w:rPr>
        <w:t>年</w:t>
      </w:r>
      <w:r>
        <w:rPr>
          <w:rFonts w:hint="eastAsia"/>
        </w:rPr>
        <w:t>7</w:t>
      </w:r>
      <w:r>
        <w:rPr>
          <w:rFonts w:hint="eastAsia"/>
        </w:rPr>
        <w:t>月</w:t>
      </w:r>
      <w:r>
        <w:rPr>
          <w:rFonts w:hint="eastAsia"/>
        </w:rPr>
        <w:t>1</w:t>
      </w:r>
      <w:r>
        <w:rPr>
          <w:rFonts w:hint="eastAsia"/>
        </w:rPr>
        <w:t>日后完成的时期的第一支柱基本养恤金，</w:t>
      </w:r>
      <w:r>
        <w:t>(c)</w:t>
      </w:r>
      <w:r>
        <w:rPr>
          <w:rFonts w:hint="eastAsia"/>
        </w:rPr>
        <w:t xml:space="preserve"> </w:t>
      </w:r>
      <w:r>
        <w:rPr>
          <w:rFonts w:hint="eastAsia"/>
        </w:rPr>
        <w:t>按个人资本化制度支付的第二支柱额外养恤金。如属残疾或者被保险人死亡后有权享受遗属养恤金的，在第二支柱个人帐户内积累的资金将转入第一支柱，只从第一支柱保险中发给有关人员正常残疾或遗属养恤金</w:t>
      </w:r>
      <w:r>
        <w:rPr>
          <w:rFonts w:hint="eastAsia"/>
          <w:spacing w:val="-40"/>
          <w:sz w:val="22"/>
        </w:rPr>
        <w:t>——</w:t>
      </w:r>
      <w:r>
        <w:rPr>
          <w:sz w:val="22"/>
        </w:rPr>
        <w:t xml:space="preserve"> </w:t>
      </w:r>
      <w:r>
        <w:rPr>
          <w:rFonts w:hint="eastAsia"/>
        </w:rPr>
        <w:t>一如所有的缴款只付给第一支柱保险。唯一例外的是，如果残疾或遗属第一支柱基本养恤金</w:t>
      </w:r>
      <w:r>
        <w:rPr>
          <w:rFonts w:hint="eastAsia"/>
        </w:rPr>
        <w:t>(</w:t>
      </w:r>
      <w:r>
        <w:rPr>
          <w:rFonts w:hint="eastAsia"/>
        </w:rPr>
        <w:t>视具体情况</w:t>
      </w:r>
      <w:r>
        <w:rPr>
          <w:rFonts w:hint="eastAsia"/>
        </w:rPr>
        <w:t>)</w:t>
      </w:r>
      <w:r>
        <w:rPr>
          <w:rFonts w:hint="eastAsia"/>
        </w:rPr>
        <w:t>和第二支柱养恤金总额对受益人更有利，那么，第一支柱基本养恤金将与第二支柱养恤金一起支付，而不是正常第一支柱残疾或遗属养恤金。</w:t>
      </w:r>
    </w:p>
    <w:p w:rsidR="00000000" w:rsidRDefault="00000000">
      <w:pPr>
        <w:rPr>
          <w:rFonts w:hint="eastAsia"/>
        </w:rPr>
      </w:pPr>
      <w:r>
        <w:rPr>
          <w:rFonts w:hint="eastAsia"/>
        </w:rPr>
        <w:tab/>
        <w:t xml:space="preserve">3.  </w:t>
      </w:r>
      <w:r>
        <w:rPr>
          <w:rFonts w:hint="eastAsia"/>
        </w:rPr>
        <w:t>将在</w:t>
      </w:r>
      <w:r>
        <w:rPr>
          <w:rFonts w:hint="eastAsia"/>
        </w:rPr>
        <w:t>2000</w:t>
      </w:r>
      <w:r>
        <w:rPr>
          <w:rFonts w:hint="eastAsia"/>
        </w:rPr>
        <w:t>年</w:t>
      </w:r>
      <w:r>
        <w:rPr>
          <w:rFonts w:hint="eastAsia"/>
        </w:rPr>
        <w:t>7</w:t>
      </w:r>
      <w:r>
        <w:rPr>
          <w:rFonts w:hint="eastAsia"/>
        </w:rPr>
        <w:t>月</w:t>
      </w:r>
      <w:r>
        <w:rPr>
          <w:rFonts w:hint="eastAsia"/>
        </w:rPr>
        <w:t>1</w:t>
      </w:r>
      <w:r>
        <w:rPr>
          <w:rFonts w:hint="eastAsia"/>
        </w:rPr>
        <w:t>日以后第一次就业并将在整个工作寿命期间在两个支柱下强制性受保的人将能得到老年和预付养恤金，这笔养恤金有两笔金额组成：</w:t>
      </w:r>
      <w:r>
        <w:t>(a)</w:t>
      </w:r>
      <w:r>
        <w:rPr>
          <w:rFonts w:hint="eastAsia"/>
        </w:rPr>
        <w:t xml:space="preserve"> </w:t>
      </w:r>
      <w:r>
        <w:rPr>
          <w:rFonts w:hint="eastAsia"/>
        </w:rPr>
        <w:t>第一支柱的基本老年或预付养恤金，</w:t>
      </w:r>
      <w:r>
        <w:t>(b)</w:t>
      </w:r>
      <w:r>
        <w:rPr>
          <w:rFonts w:hint="eastAsia"/>
        </w:rPr>
        <w:t xml:space="preserve"> </w:t>
      </w:r>
      <w:r>
        <w:rPr>
          <w:rFonts w:hint="eastAsia"/>
        </w:rPr>
        <w:t>第二支柱的额外养恤金。正常第一支柱养恤金将只在残疾或者被保人死亡后有权享受遗属养恤金的情况下支付，因为第二支柱个人帐户的资金被转到了第一支柱基金</w:t>
      </w:r>
      <w:r>
        <w:rPr>
          <w:rFonts w:hint="eastAsia"/>
          <w:spacing w:val="-40"/>
          <w:sz w:val="22"/>
        </w:rPr>
        <w:t>——</w:t>
      </w:r>
      <w:r>
        <w:rPr>
          <w:sz w:val="22"/>
        </w:rPr>
        <w:t xml:space="preserve"> </w:t>
      </w:r>
      <w:r>
        <w:rPr>
          <w:rFonts w:hint="eastAsia"/>
        </w:rPr>
        <w:t>克罗地亚养恤金保险局，一如所有的缴款只付给该基金，然而，只有在累计到第二支柱额外养恤金的第一支柱基本养恤金的金额对受益人较有利时才付给这种正常养恤金。</w:t>
      </w:r>
    </w:p>
    <w:p w:rsidR="00000000" w:rsidRDefault="00000000">
      <w:pPr>
        <w:spacing w:after="320"/>
        <w:rPr>
          <w:rFonts w:hint="eastAsia"/>
        </w:rPr>
      </w:pPr>
      <w:r>
        <w:rPr>
          <w:rFonts w:hint="eastAsia"/>
        </w:rPr>
        <w:tab/>
      </w:r>
      <w:r>
        <w:rPr>
          <w:rFonts w:hint="eastAsia"/>
        </w:rPr>
        <w:t>从上述显而易见，第一支柱正常和基本养恤金是两类不同的专属养恤金，第一支柱基本养恤金只与第二支柱额外养恤金一起支付，而第一支柱正常养恤金则不按完成的同样的保险期与第二支柱养恤金同时支付。它还表明存在着一种趋势，即正常的第一支柱老年和预付养恤金由于第一支柱基本的老年和预付养恤金以及第二支柱额外养恤金而在缓慢消失。</w:t>
      </w:r>
    </w:p>
    <w:p w:rsidR="00000000" w:rsidRDefault="00000000">
      <w:pPr>
        <w:pStyle w:val="Heading4"/>
        <w:rPr>
          <w:rFonts w:hint="eastAsia"/>
        </w:rPr>
      </w:pPr>
      <w:r>
        <w:rPr>
          <w:rFonts w:hint="eastAsia"/>
        </w:rPr>
        <w:t>正常养恤金</w:t>
      </w:r>
      <w:r>
        <w:rPr>
          <w:rFonts w:hint="eastAsia"/>
        </w:rPr>
        <w:t>(</w:t>
      </w:r>
      <w:r>
        <w:rPr>
          <w:rFonts w:hint="eastAsia"/>
        </w:rPr>
        <w:t>老年、预付、残疾和遗属养恤金</w:t>
      </w:r>
      <w:r>
        <w:rPr>
          <w:rFonts w:hint="eastAsia"/>
        </w:rPr>
        <w:t>)</w:t>
      </w:r>
    </w:p>
    <w:p w:rsidR="00000000" w:rsidRDefault="00000000">
      <w:pPr>
        <w:rPr>
          <w:rFonts w:hint="eastAsia"/>
        </w:rPr>
      </w:pPr>
      <w:r>
        <w:rPr>
          <w:rFonts w:hint="eastAsia"/>
        </w:rPr>
        <w:tab/>
      </w:r>
      <w:r>
        <w:rPr>
          <w:rFonts w:hint="eastAsia"/>
        </w:rPr>
        <w:t>养恤金按月确定。金额多寡取决于完成的合格期长短，但因工伤或职业病而获得的残疾或遗属养恤金除外。金额多寡还取决于相比与所有就业人员平均工资的工资额。</w:t>
      </w:r>
    </w:p>
    <w:p w:rsidR="00000000" w:rsidRDefault="00000000">
      <w:pPr>
        <w:rPr>
          <w:rFonts w:hint="eastAsia"/>
        </w:rPr>
      </w:pPr>
      <w:r>
        <w:rPr>
          <w:rFonts w:hint="eastAsia"/>
        </w:rPr>
        <w:tab/>
      </w:r>
      <w:r>
        <w:rPr>
          <w:rFonts w:hint="eastAsia"/>
        </w:rPr>
        <w:t>养恤金公式：</w:t>
      </w:r>
      <w:r>
        <w:rPr>
          <w:rFonts w:hint="eastAsia"/>
          <w:u w:val="single"/>
        </w:rPr>
        <w:t>个人分数</w:t>
      </w:r>
      <w:r>
        <w:rPr>
          <w:rFonts w:hint="eastAsia"/>
          <w:u w:val="single"/>
        </w:rPr>
        <w:t>X</w:t>
      </w:r>
      <w:r>
        <w:rPr>
          <w:rFonts w:hint="eastAsia"/>
          <w:u w:val="single"/>
        </w:rPr>
        <w:t>养恤金系数</w:t>
      </w:r>
      <w:r>
        <w:rPr>
          <w:rFonts w:hint="eastAsia"/>
          <w:u w:val="single"/>
        </w:rPr>
        <w:t>X</w:t>
      </w:r>
      <w:r>
        <w:rPr>
          <w:rFonts w:hint="eastAsia"/>
          <w:u w:val="single"/>
        </w:rPr>
        <w:t>实际养恤金额个人分数</w:t>
      </w:r>
      <w:r>
        <w:t xml:space="preserve"> </w:t>
      </w:r>
      <w:r>
        <w:rPr>
          <w:rFonts w:hint="eastAsia"/>
        </w:rPr>
        <w:t>=</w:t>
      </w:r>
      <w:r>
        <w:t xml:space="preserve"> </w:t>
      </w:r>
      <w:r>
        <w:rPr>
          <w:rFonts w:hint="eastAsia"/>
        </w:rPr>
        <w:t>平均值分数</w:t>
      </w:r>
      <w:r>
        <w:rPr>
          <w:rFonts w:hint="eastAsia"/>
        </w:rPr>
        <w:t>X</w:t>
      </w:r>
      <w:r>
        <w:rPr>
          <w:rFonts w:hint="eastAsia"/>
        </w:rPr>
        <w:t>合格期总数</w:t>
      </w:r>
      <w:r>
        <w:rPr>
          <w:rFonts w:hint="eastAsia"/>
        </w:rPr>
        <w:t>X</w:t>
      </w:r>
      <w:r>
        <w:rPr>
          <w:rFonts w:hint="eastAsia"/>
        </w:rPr>
        <w:t>初始系数。</w:t>
      </w:r>
      <w:r>
        <w:rPr>
          <w:rFonts w:hint="eastAsia"/>
          <w:u w:val="single"/>
        </w:rPr>
        <w:t>平均值分数</w:t>
      </w:r>
      <w:r>
        <w:rPr>
          <w:rFonts w:hint="eastAsia"/>
        </w:rPr>
        <w:t xml:space="preserve"> = </w:t>
      </w:r>
      <w:r>
        <w:rPr>
          <w:rFonts w:hint="eastAsia"/>
        </w:rPr>
        <w:t>总值分数除以各自的时期。</w:t>
      </w:r>
      <w:r>
        <w:rPr>
          <w:rFonts w:hint="eastAsia"/>
          <w:u w:val="single"/>
        </w:rPr>
        <w:t>价值分数</w:t>
      </w:r>
      <w:r>
        <w:rPr>
          <w:rFonts w:hint="eastAsia"/>
        </w:rPr>
        <w:t xml:space="preserve"> = </w:t>
      </w:r>
      <w:r>
        <w:rPr>
          <w:rFonts w:hint="eastAsia"/>
        </w:rPr>
        <w:t>日历年内实际所挣工资毛额或净额除以当年所有就业人员年平均工资总额或净额。价值分数按为</w:t>
      </w:r>
      <w:r>
        <w:rPr>
          <w:rFonts w:hint="eastAsia"/>
        </w:rPr>
        <w:t>1970</w:t>
      </w:r>
      <w:r>
        <w:rPr>
          <w:rFonts w:hint="eastAsia"/>
        </w:rPr>
        <w:t>年</w:t>
      </w:r>
      <w:r>
        <w:rPr>
          <w:rFonts w:hint="eastAsia"/>
        </w:rPr>
        <w:t>1</w:t>
      </w:r>
      <w:r>
        <w:rPr>
          <w:rFonts w:hint="eastAsia"/>
        </w:rPr>
        <w:t>月</w:t>
      </w:r>
      <w:r>
        <w:rPr>
          <w:rFonts w:hint="eastAsia"/>
        </w:rPr>
        <w:t>1</w:t>
      </w:r>
      <w:r>
        <w:rPr>
          <w:rFonts w:hint="eastAsia"/>
        </w:rPr>
        <w:t>日起的保险期所付的方式确定，如果是</w:t>
      </w:r>
      <w:r>
        <w:rPr>
          <w:rFonts w:hint="eastAsia"/>
        </w:rPr>
        <w:t>1969</w:t>
      </w:r>
      <w:r>
        <w:rPr>
          <w:rFonts w:hint="eastAsia"/>
        </w:rPr>
        <w:t>年</w:t>
      </w:r>
      <w:r>
        <w:rPr>
          <w:rFonts w:hint="eastAsia"/>
        </w:rPr>
        <w:t>12</w:t>
      </w:r>
      <w:r>
        <w:rPr>
          <w:rFonts w:hint="eastAsia"/>
        </w:rPr>
        <w:t>月</w:t>
      </w:r>
      <w:r>
        <w:rPr>
          <w:rFonts w:hint="eastAsia"/>
        </w:rPr>
        <w:t>31</w:t>
      </w:r>
      <w:r>
        <w:rPr>
          <w:rFonts w:hint="eastAsia"/>
        </w:rPr>
        <w:t>日前完成的保险期，则算平均价值分数。价值分数</w:t>
      </w:r>
      <w:r>
        <w:rPr>
          <w:rFonts w:hint="eastAsia"/>
        </w:rPr>
        <w:t>=1,</w:t>
      </w:r>
      <w:r>
        <w:rPr>
          <w:rFonts w:hint="eastAsia"/>
        </w:rPr>
        <w:t>如果被保险人所挣年工资等于同一日历年所有就业人员的平均工资。由于计算养恤金额的养恤金基数以最有利的</w:t>
      </w:r>
      <w:r>
        <w:rPr>
          <w:rFonts w:hint="eastAsia"/>
        </w:rPr>
        <w:t>10</w:t>
      </w:r>
      <w:r>
        <w:rPr>
          <w:rFonts w:hint="eastAsia"/>
        </w:rPr>
        <w:t>年收入期根据</w:t>
      </w:r>
      <w:r>
        <w:rPr>
          <w:rFonts w:hint="eastAsia"/>
        </w:rPr>
        <w:t>1998</w:t>
      </w:r>
      <w:r>
        <w:rPr>
          <w:rFonts w:hint="eastAsia"/>
        </w:rPr>
        <w:t>年</w:t>
      </w:r>
      <w:r>
        <w:rPr>
          <w:rFonts w:hint="eastAsia"/>
        </w:rPr>
        <w:t>12</w:t>
      </w:r>
      <w:r>
        <w:rPr>
          <w:rFonts w:hint="eastAsia"/>
        </w:rPr>
        <w:t>月</w:t>
      </w:r>
      <w:r>
        <w:rPr>
          <w:rFonts w:hint="eastAsia"/>
        </w:rPr>
        <w:t>31</w:t>
      </w:r>
      <w:r>
        <w:rPr>
          <w:rFonts w:hint="eastAsia"/>
        </w:rPr>
        <w:t>日实施的规章确定，因此新的《养恤金保险法案》规定</w:t>
      </w:r>
      <w:r>
        <w:rPr>
          <w:rFonts w:hint="eastAsia"/>
        </w:rPr>
        <w:t>2000</w:t>
      </w:r>
      <w:r>
        <w:rPr>
          <w:rFonts w:hint="eastAsia"/>
        </w:rPr>
        <w:t>年至</w:t>
      </w:r>
      <w:r>
        <w:rPr>
          <w:rFonts w:hint="eastAsia"/>
        </w:rPr>
        <w:t>2009</w:t>
      </w:r>
      <w:r>
        <w:rPr>
          <w:rFonts w:hint="eastAsia"/>
        </w:rPr>
        <w:t>年为过渡期，在</w:t>
      </w:r>
      <w:r>
        <w:rPr>
          <w:rFonts w:hint="eastAsia"/>
        </w:rPr>
        <w:t>1999</w:t>
      </w:r>
      <w:r>
        <w:rPr>
          <w:rFonts w:hint="eastAsia"/>
        </w:rPr>
        <w:t>年适用的最有利的</w:t>
      </w:r>
      <w:r>
        <w:rPr>
          <w:rFonts w:hint="eastAsia"/>
        </w:rPr>
        <w:t>10</w:t>
      </w:r>
      <w:r>
        <w:rPr>
          <w:rFonts w:hint="eastAsia"/>
        </w:rPr>
        <w:t>年期上对每一日历年增加</w:t>
      </w:r>
      <w:r>
        <w:rPr>
          <w:rFonts w:hint="eastAsia"/>
        </w:rPr>
        <w:t>3</w:t>
      </w:r>
      <w:r>
        <w:rPr>
          <w:rFonts w:hint="eastAsia"/>
        </w:rPr>
        <w:t>年的收入期，从而在</w:t>
      </w:r>
      <w:r>
        <w:rPr>
          <w:rFonts w:hint="eastAsia"/>
        </w:rPr>
        <w:t>2009</w:t>
      </w:r>
      <w:r>
        <w:rPr>
          <w:rFonts w:hint="eastAsia"/>
        </w:rPr>
        <w:t>年，价值分数将以</w:t>
      </w:r>
      <w:r>
        <w:rPr>
          <w:rFonts w:hint="eastAsia"/>
        </w:rPr>
        <w:t>40</w:t>
      </w:r>
      <w:r>
        <w:rPr>
          <w:rFonts w:hint="eastAsia"/>
        </w:rPr>
        <w:t>年保险计，</w:t>
      </w:r>
      <w:r>
        <w:rPr>
          <w:rFonts w:hint="eastAsia"/>
        </w:rPr>
        <w:t>2009</w:t>
      </w:r>
      <w:r>
        <w:rPr>
          <w:rFonts w:hint="eastAsia"/>
        </w:rPr>
        <w:t>年以后则按完成的全部保险期计。如果以年月日计完成整个合格期，则每增加一个月便在年数上加</w:t>
      </w:r>
      <w:r>
        <w:rPr>
          <w:rFonts w:hint="eastAsia"/>
        </w:rPr>
        <w:t>0.0834,</w:t>
      </w:r>
      <w:r>
        <w:rPr>
          <w:rFonts w:hint="eastAsia"/>
        </w:rPr>
        <w:t>每增加一天</w:t>
      </w:r>
      <w:r>
        <w:rPr>
          <w:rFonts w:hint="eastAsia"/>
        </w:rPr>
        <w:t>(</w:t>
      </w:r>
      <w:r>
        <w:rPr>
          <w:rFonts w:hint="eastAsia"/>
        </w:rPr>
        <w:t>一年中的十进位制部分</w:t>
      </w:r>
      <w:r>
        <w:rPr>
          <w:rFonts w:hint="eastAsia"/>
        </w:rPr>
        <w:t>)</w:t>
      </w:r>
      <w:r>
        <w:rPr>
          <w:rFonts w:hint="eastAsia"/>
        </w:rPr>
        <w:t>，则加</w:t>
      </w:r>
      <w:r>
        <w:rPr>
          <w:rFonts w:hint="eastAsia"/>
        </w:rPr>
        <w:t>0.00274</w:t>
      </w:r>
      <w:r>
        <w:rPr>
          <w:rFonts w:hint="eastAsia"/>
        </w:rPr>
        <w:t>。</w:t>
      </w:r>
    </w:p>
    <w:p w:rsidR="00000000" w:rsidRDefault="00000000">
      <w:pPr>
        <w:rPr>
          <w:rFonts w:hint="eastAsia"/>
        </w:rPr>
      </w:pPr>
      <w:r>
        <w:rPr>
          <w:rFonts w:hint="eastAsia"/>
        </w:rPr>
        <w:tab/>
      </w:r>
      <w:r>
        <w:rPr>
          <w:rFonts w:hint="eastAsia"/>
          <w:u w:val="single"/>
        </w:rPr>
        <w:t>初始系数</w:t>
      </w:r>
      <w:r>
        <w:rPr>
          <w:rFonts w:hint="eastAsia"/>
        </w:rPr>
        <w:t>取决于被保险人的年龄，它决定在计算每月养恤金金额时计入价值分数的程度。就老年和残疾养恤金以及死者为被保险人的遗属养恤金而言，初始系数</w:t>
      </w:r>
      <w:r>
        <w:rPr>
          <w:rFonts w:hint="eastAsia"/>
        </w:rPr>
        <w:t xml:space="preserve"> = 1</w:t>
      </w:r>
      <w:r>
        <w:rPr>
          <w:rFonts w:hint="eastAsia"/>
        </w:rPr>
        <w:t>。实际上，在所列的养恤金方面，它似乎不适用，因为它唯一的目的是确定预付养恤金金额：预付养恤金的初始系数为预付每日历月减去</w:t>
      </w:r>
      <w:r>
        <w:rPr>
          <w:rFonts w:hint="eastAsia"/>
        </w:rPr>
        <w:t>0.3%(</w:t>
      </w:r>
      <w:r>
        <w:rPr>
          <w:rFonts w:hint="eastAsia"/>
        </w:rPr>
        <w:t>预付的每一年减去</w:t>
      </w:r>
      <w:r>
        <w:rPr>
          <w:rFonts w:hint="eastAsia"/>
        </w:rPr>
        <w:t>3.6%</w:t>
      </w:r>
      <w:r>
        <w:rPr>
          <w:rFonts w:hint="eastAsia"/>
        </w:rPr>
        <w:t>等于最多</w:t>
      </w:r>
      <w:r>
        <w:rPr>
          <w:rFonts w:hint="eastAsia"/>
        </w:rPr>
        <w:t>5</w:t>
      </w:r>
      <w:r>
        <w:rPr>
          <w:rFonts w:hint="eastAsia"/>
        </w:rPr>
        <w:t>年，减去</w:t>
      </w:r>
      <w:r>
        <w:rPr>
          <w:rFonts w:hint="eastAsia"/>
        </w:rPr>
        <w:t>18%)</w:t>
      </w:r>
      <w:r>
        <w:rPr>
          <w:rFonts w:hint="eastAsia"/>
        </w:rPr>
        <w:t>。</w:t>
      </w:r>
    </w:p>
    <w:p w:rsidR="00000000" w:rsidRDefault="00000000">
      <w:pPr>
        <w:rPr>
          <w:rFonts w:hint="eastAsia"/>
        </w:rPr>
      </w:pPr>
      <w:r>
        <w:rPr>
          <w:rFonts w:hint="eastAsia"/>
        </w:rPr>
        <w:tab/>
      </w:r>
      <w:r>
        <w:rPr>
          <w:rFonts w:hint="eastAsia"/>
        </w:rPr>
        <w:t>因工伤或职业病发给的残疾养恤金个人分数由价值分数确定，至少为</w:t>
      </w:r>
      <w:r>
        <w:rPr>
          <w:rFonts w:hint="eastAsia"/>
        </w:rPr>
        <w:t>40</w:t>
      </w:r>
      <w:r>
        <w:rPr>
          <w:rFonts w:hint="eastAsia"/>
        </w:rPr>
        <w:t>年合格期。这也是用于如果被保险人的死亡是由工伤或职业病造成的遗属养恤金。如果意外事件发生时保险人死亡，遗属养恤金的个人分数由价值分数确定，至少为</w:t>
      </w:r>
      <w:r>
        <w:rPr>
          <w:rFonts w:hint="eastAsia"/>
        </w:rPr>
        <w:t>12</w:t>
      </w:r>
      <w:r>
        <w:rPr>
          <w:rFonts w:hint="eastAsia"/>
        </w:rPr>
        <w:t>年合格期，受益人死亡后的遗属养恤金按死亡发生之日应予支付的每月养恤金金额确定。</w:t>
      </w:r>
    </w:p>
    <w:p w:rsidR="00000000" w:rsidRDefault="00000000">
      <w:pPr>
        <w:rPr>
          <w:rFonts w:hint="eastAsia"/>
        </w:rPr>
      </w:pPr>
      <w:r>
        <w:rPr>
          <w:rFonts w:hint="eastAsia"/>
        </w:rPr>
        <w:tab/>
      </w:r>
      <w:r>
        <w:rPr>
          <w:rFonts w:hint="eastAsia"/>
          <w:u w:val="single"/>
        </w:rPr>
        <w:t>养恤金系数</w:t>
      </w:r>
      <w:r>
        <w:rPr>
          <w:rFonts w:hint="eastAsia"/>
        </w:rPr>
        <w:t>：</w:t>
      </w:r>
      <w:r>
        <w:rPr>
          <w:rFonts w:hint="eastAsia"/>
        </w:rPr>
        <w:t xml:space="preserve">(1) </w:t>
      </w:r>
      <w:r>
        <w:rPr>
          <w:rFonts w:hint="eastAsia"/>
        </w:rPr>
        <w:t>因普通丧失工作能力的老年、预付和残疾养恤金</w:t>
      </w:r>
      <w:r>
        <w:rPr>
          <w:rFonts w:hint="eastAsia"/>
          <w:spacing w:val="-40"/>
          <w:sz w:val="22"/>
        </w:rPr>
        <w:t>——</w:t>
      </w:r>
      <w:r>
        <w:rPr>
          <w:sz w:val="22"/>
        </w:rPr>
        <w:t xml:space="preserve"> </w:t>
      </w:r>
      <w:r>
        <w:rPr>
          <w:rFonts w:hint="eastAsia"/>
        </w:rPr>
        <w:t>1.0</w:t>
      </w:r>
      <w:r>
        <w:rPr>
          <w:rFonts w:hint="eastAsia"/>
        </w:rPr>
        <w:t>；</w:t>
      </w:r>
      <w:r>
        <w:rPr>
          <w:rFonts w:hint="eastAsia"/>
        </w:rPr>
        <w:t xml:space="preserve">(2) </w:t>
      </w:r>
      <w:r>
        <w:rPr>
          <w:rFonts w:hint="eastAsia"/>
        </w:rPr>
        <w:t>因工伤的残疾养恤金</w:t>
      </w:r>
      <w:r>
        <w:rPr>
          <w:rFonts w:hint="eastAsia"/>
          <w:spacing w:val="-40"/>
          <w:sz w:val="22"/>
        </w:rPr>
        <w:t>——</w:t>
      </w:r>
      <w:r>
        <w:rPr>
          <w:sz w:val="22"/>
        </w:rPr>
        <w:t xml:space="preserve"> </w:t>
      </w:r>
      <w:r>
        <w:rPr>
          <w:rFonts w:hint="eastAsia"/>
        </w:rPr>
        <w:t>0.6667,</w:t>
      </w:r>
      <w:r>
        <w:rPr>
          <w:rFonts w:hint="eastAsia"/>
        </w:rPr>
        <w:t>如果受益人就业</w:t>
      </w:r>
      <w:r>
        <w:rPr>
          <w:rFonts w:hint="eastAsia"/>
          <w:spacing w:val="-40"/>
          <w:sz w:val="22"/>
        </w:rPr>
        <w:t>——</w:t>
      </w:r>
      <w:r>
        <w:rPr>
          <w:sz w:val="22"/>
        </w:rPr>
        <w:t xml:space="preserve"> </w:t>
      </w:r>
      <w:r>
        <w:rPr>
          <w:rFonts w:hint="eastAsia"/>
        </w:rPr>
        <w:t>0.3333,</w:t>
      </w:r>
      <w:r>
        <w:rPr>
          <w:rFonts w:hint="eastAsia"/>
        </w:rPr>
        <w:t>但如果工伤残疾是由于工伤或职业病造成而且受益人就业</w:t>
      </w:r>
      <w:r>
        <w:rPr>
          <w:rFonts w:hint="eastAsia"/>
          <w:spacing w:val="-40"/>
          <w:sz w:val="22"/>
        </w:rPr>
        <w:t>——</w:t>
      </w:r>
      <w:r>
        <w:rPr>
          <w:sz w:val="22"/>
        </w:rPr>
        <w:t xml:space="preserve"> </w:t>
      </w:r>
      <w:r>
        <w:rPr>
          <w:rFonts w:hint="eastAsia"/>
        </w:rPr>
        <w:t>0.5</w:t>
      </w:r>
      <w:r>
        <w:rPr>
          <w:rFonts w:hint="eastAsia"/>
        </w:rPr>
        <w:t>；</w:t>
      </w:r>
      <w:r>
        <w:rPr>
          <w:rFonts w:hint="eastAsia"/>
        </w:rPr>
        <w:t xml:space="preserve">(3) </w:t>
      </w:r>
      <w:r>
        <w:rPr>
          <w:rFonts w:hint="eastAsia"/>
        </w:rPr>
        <w:t>遗属养恤金取决于有权享受的人数</w:t>
      </w:r>
      <w:r>
        <w:rPr>
          <w:rFonts w:hint="eastAsia"/>
          <w:spacing w:val="-40"/>
          <w:sz w:val="22"/>
        </w:rPr>
        <w:t>——</w:t>
      </w:r>
      <w:r>
        <w:rPr>
          <w:sz w:val="22"/>
        </w:rPr>
        <w:t xml:space="preserve"> </w:t>
      </w:r>
      <w:r>
        <w:rPr>
          <w:rFonts w:hint="eastAsia"/>
        </w:rPr>
        <w:t>从一名家庭成员</w:t>
      </w:r>
      <w:r>
        <w:rPr>
          <w:rFonts w:hint="eastAsia"/>
        </w:rPr>
        <w:t>0.7</w:t>
      </w:r>
      <w:r>
        <w:rPr>
          <w:rFonts w:hint="eastAsia"/>
        </w:rPr>
        <w:t>到四名以上家庭成员</w:t>
      </w:r>
      <w:r>
        <w:rPr>
          <w:rFonts w:hint="eastAsia"/>
        </w:rPr>
        <w:t>1.0</w:t>
      </w:r>
      <w:r>
        <w:rPr>
          <w:rFonts w:hint="eastAsia"/>
        </w:rPr>
        <w:t>。孤儿遗属养恤金，养恤金系数适用于死亡父母的养恤金总数。</w:t>
      </w:r>
    </w:p>
    <w:p w:rsidR="00000000" w:rsidRDefault="00000000">
      <w:pPr>
        <w:rPr>
          <w:rFonts w:hint="eastAsia"/>
        </w:rPr>
      </w:pPr>
      <w:r>
        <w:rPr>
          <w:rFonts w:hint="eastAsia"/>
        </w:rPr>
        <w:tab/>
      </w:r>
      <w:r>
        <w:rPr>
          <w:rFonts w:hint="eastAsia"/>
          <w:u w:val="single"/>
        </w:rPr>
        <w:t>养恤金实际价值</w:t>
      </w:r>
      <w:r>
        <w:rPr>
          <w:rFonts w:hint="eastAsia"/>
        </w:rPr>
        <w:t>是为一个人分确定的养恤金额。它将由养恤金保险局管理委员会根据统计数字在每年的</w:t>
      </w:r>
      <w:r>
        <w:rPr>
          <w:rFonts w:hint="eastAsia"/>
        </w:rPr>
        <w:t>1</w:t>
      </w:r>
      <w:r>
        <w:rPr>
          <w:rFonts w:hint="eastAsia"/>
        </w:rPr>
        <w:t>月</w:t>
      </w:r>
      <w:r>
        <w:rPr>
          <w:rFonts w:hint="eastAsia"/>
        </w:rPr>
        <w:t>1</w:t>
      </w:r>
      <w:r>
        <w:rPr>
          <w:rFonts w:hint="eastAsia"/>
        </w:rPr>
        <w:t>日和</w:t>
      </w:r>
      <w:r>
        <w:rPr>
          <w:rFonts w:hint="eastAsia"/>
        </w:rPr>
        <w:t>7</w:t>
      </w:r>
      <w:r>
        <w:rPr>
          <w:rFonts w:hint="eastAsia"/>
        </w:rPr>
        <w:t>月</w:t>
      </w:r>
      <w:r>
        <w:rPr>
          <w:rFonts w:hint="eastAsia"/>
        </w:rPr>
        <w:t>1</w:t>
      </w:r>
      <w:r>
        <w:rPr>
          <w:rFonts w:hint="eastAsia"/>
        </w:rPr>
        <w:t>日确定，实行的是调整率的计算方法是将相比于前半年生活费用变化的一半与前半年所有职员平均总工资与这半年之前的半年相比所发生的变化率的一半相加。它既用于在计算养恤金时将养恤金调整到开始有权享受之日，也用于编制已获得的养恤金和其他养恤金的指数。</w:t>
      </w:r>
    </w:p>
    <w:p w:rsidR="00000000" w:rsidRDefault="00000000">
      <w:pPr>
        <w:rPr>
          <w:rFonts w:hint="eastAsia"/>
        </w:rPr>
      </w:pPr>
      <w:r>
        <w:rPr>
          <w:rFonts w:hint="eastAsia"/>
        </w:rPr>
        <w:tab/>
      </w:r>
      <w:r>
        <w:rPr>
          <w:rFonts w:hint="eastAsia"/>
          <w:u w:val="single"/>
        </w:rPr>
        <w:t>用于计算养恤金额的假定期</w:t>
      </w:r>
      <w:r>
        <w:rPr>
          <w:rFonts w:hint="eastAsia"/>
        </w:rPr>
        <w:t>：计算残疾或遗属养恤金额的额外期</w:t>
      </w:r>
      <w:r>
        <w:rPr>
          <w:rFonts w:hint="eastAsia"/>
        </w:rPr>
        <w:t>(60</w:t>
      </w:r>
      <w:r>
        <w:rPr>
          <w:rFonts w:hint="eastAsia"/>
        </w:rPr>
        <w:t>岁以下的人</w:t>
      </w:r>
      <w:r>
        <w:rPr>
          <w:rFonts w:hint="eastAsia"/>
        </w:rPr>
        <w:t>)</w:t>
      </w:r>
      <w:r>
        <w:rPr>
          <w:rFonts w:hint="eastAsia"/>
        </w:rPr>
        <w:t>：残疾人从残疾之日起，遗属养恤金从死亡之日起，直到</w:t>
      </w:r>
      <w:r>
        <w:rPr>
          <w:rFonts w:hint="eastAsia"/>
        </w:rPr>
        <w:t>55</w:t>
      </w:r>
      <w:r>
        <w:rPr>
          <w:rFonts w:hint="eastAsia"/>
        </w:rPr>
        <w:t>岁</w:t>
      </w:r>
      <w:r>
        <w:rPr>
          <w:rFonts w:hint="eastAsia"/>
          <w:spacing w:val="-40"/>
          <w:sz w:val="22"/>
        </w:rPr>
        <w:t>——</w:t>
      </w:r>
      <w:r>
        <w:rPr>
          <w:sz w:val="22"/>
        </w:rPr>
        <w:t xml:space="preserve"> </w:t>
      </w:r>
      <w:r>
        <w:rPr>
          <w:rFonts w:hint="eastAsia"/>
        </w:rPr>
        <w:t>这一期间的三分之二；从</w:t>
      </w:r>
      <w:r>
        <w:rPr>
          <w:rFonts w:hint="eastAsia"/>
        </w:rPr>
        <w:t>55</w:t>
      </w:r>
      <w:r>
        <w:rPr>
          <w:rFonts w:hint="eastAsia"/>
        </w:rPr>
        <w:t>岁至</w:t>
      </w:r>
      <w:r>
        <w:rPr>
          <w:rFonts w:hint="eastAsia"/>
        </w:rPr>
        <w:t>60</w:t>
      </w:r>
      <w:r>
        <w:rPr>
          <w:rFonts w:hint="eastAsia"/>
        </w:rPr>
        <w:t>岁</w:t>
      </w:r>
      <w:r>
        <w:rPr>
          <w:rFonts w:hint="eastAsia"/>
          <w:spacing w:val="-40"/>
          <w:sz w:val="22"/>
        </w:rPr>
        <w:t>——</w:t>
      </w:r>
      <w:r>
        <w:rPr>
          <w:sz w:val="22"/>
        </w:rPr>
        <w:t xml:space="preserve"> </w:t>
      </w:r>
      <w:r>
        <w:rPr>
          <w:rFonts w:hint="eastAsia"/>
        </w:rPr>
        <w:t>这一期间的一半。</w:t>
      </w:r>
    </w:p>
    <w:p w:rsidR="00000000" w:rsidRDefault="00000000">
      <w:pPr>
        <w:rPr>
          <w:rFonts w:hint="eastAsia"/>
        </w:rPr>
      </w:pPr>
      <w:r>
        <w:tab/>
      </w:r>
      <w:r>
        <w:rPr>
          <w:rFonts w:hint="eastAsia"/>
        </w:rPr>
        <w:t>用于计算妇女老年或预付养恤金额的额外期，从</w:t>
      </w:r>
      <w:r>
        <w:rPr>
          <w:rFonts w:hint="eastAsia"/>
        </w:rPr>
        <w:t>1999</w:t>
      </w:r>
      <w:r>
        <w:rPr>
          <w:rFonts w:hint="eastAsia"/>
        </w:rPr>
        <w:t>年至</w:t>
      </w:r>
      <w:r>
        <w:rPr>
          <w:rFonts w:hint="eastAsia"/>
        </w:rPr>
        <w:t>2003</w:t>
      </w:r>
      <w:r>
        <w:rPr>
          <w:rFonts w:hint="eastAsia"/>
        </w:rPr>
        <w:t>年的过渡期内最高年限为</w:t>
      </w:r>
      <w:r>
        <w:rPr>
          <w:rFonts w:hint="eastAsia"/>
        </w:rPr>
        <w:t>40</w:t>
      </w:r>
      <w:r>
        <w:rPr>
          <w:rFonts w:hint="eastAsia"/>
        </w:rPr>
        <w:t>年合格期，从</w:t>
      </w:r>
      <w:r>
        <w:rPr>
          <w:rFonts w:hint="eastAsia"/>
        </w:rPr>
        <w:t>1999</w:t>
      </w:r>
      <w:r>
        <w:rPr>
          <w:rFonts w:hint="eastAsia"/>
        </w:rPr>
        <w:t>年最多增加</w:t>
      </w:r>
      <w:r>
        <w:rPr>
          <w:rFonts w:hint="eastAsia"/>
        </w:rPr>
        <w:t>5</w:t>
      </w:r>
      <w:r>
        <w:rPr>
          <w:rFonts w:hint="eastAsia"/>
        </w:rPr>
        <w:t>年期，逐渐将增加年份减少到</w:t>
      </w:r>
      <w:r>
        <w:rPr>
          <w:rFonts w:hint="eastAsia"/>
        </w:rPr>
        <w:t>2003</w:t>
      </w:r>
      <w:r>
        <w:rPr>
          <w:rFonts w:hint="eastAsia"/>
        </w:rPr>
        <w:t>年的至多一年。</w:t>
      </w:r>
    </w:p>
    <w:p w:rsidR="00000000" w:rsidRDefault="00000000">
      <w:pPr>
        <w:rPr>
          <w:rFonts w:hint="eastAsia"/>
        </w:rPr>
      </w:pPr>
      <w:r>
        <w:rPr>
          <w:rFonts w:hint="eastAsia"/>
        </w:rPr>
        <w:tab/>
      </w:r>
      <w:r>
        <w:rPr>
          <w:rFonts w:hint="eastAsia"/>
          <w:u w:val="single"/>
        </w:rPr>
        <w:t>最低养恤金</w:t>
      </w:r>
      <w:r>
        <w:rPr>
          <w:rFonts w:hint="eastAsia"/>
        </w:rPr>
        <w:t>：养恤金受益人，如果经经常确定的养恤金低于最低养恤金额，则有权享受最低养恤金。最低养恤金在每年的合格期确定一次，金额为</w:t>
      </w:r>
      <w:r>
        <w:rPr>
          <w:rFonts w:hint="eastAsia"/>
        </w:rPr>
        <w:t>1998</w:t>
      </w:r>
      <w:r>
        <w:rPr>
          <w:rFonts w:hint="eastAsia"/>
        </w:rPr>
        <w:t>年所有职员平均总工资的</w:t>
      </w:r>
      <w:r>
        <w:rPr>
          <w:rFonts w:hint="eastAsia"/>
        </w:rPr>
        <w:t>0.825%</w:t>
      </w:r>
      <w:r>
        <w:rPr>
          <w:rFonts w:hint="eastAsia"/>
        </w:rPr>
        <w:t>。确定的金额将按养恤金实际值相同的百分比增加。从</w:t>
      </w:r>
      <w:r>
        <w:rPr>
          <w:rFonts w:hint="eastAsia"/>
        </w:rPr>
        <w:t>1999</w:t>
      </w:r>
      <w:r>
        <w:rPr>
          <w:rFonts w:hint="eastAsia"/>
        </w:rPr>
        <w:t>年</w:t>
      </w:r>
      <w:r>
        <w:rPr>
          <w:rFonts w:hint="eastAsia"/>
        </w:rPr>
        <w:t>7</w:t>
      </w:r>
      <w:r>
        <w:rPr>
          <w:rFonts w:hint="eastAsia"/>
        </w:rPr>
        <w:t>月</w:t>
      </w:r>
      <w:r>
        <w:rPr>
          <w:rFonts w:hint="eastAsia"/>
        </w:rPr>
        <w:t>1</w:t>
      </w:r>
      <w:r>
        <w:rPr>
          <w:rFonts w:hint="eastAsia"/>
        </w:rPr>
        <w:t>日起，每一年合格期的最低养恤金值为</w:t>
      </w:r>
      <w:r>
        <w:rPr>
          <w:rFonts w:hint="eastAsia"/>
        </w:rPr>
        <w:t>35.39</w:t>
      </w:r>
      <w:r>
        <w:rPr>
          <w:rFonts w:hint="eastAsia"/>
        </w:rPr>
        <w:t>库纳。最低养恤金额的计算方法如下：合格期</w:t>
      </w:r>
      <w:r>
        <w:rPr>
          <w:rFonts w:hint="eastAsia"/>
        </w:rPr>
        <w:sym w:font="Symbol" w:char="F0B4"/>
      </w:r>
      <w:r>
        <w:rPr>
          <w:rFonts w:hint="eastAsia"/>
        </w:rPr>
        <w:t>每合格年最低养恤金价值</w:t>
      </w:r>
      <w:r>
        <w:rPr>
          <w:rFonts w:hint="eastAsia"/>
        </w:rPr>
        <w:sym w:font="Symbol" w:char="F0B4"/>
      </w:r>
      <w:r>
        <w:rPr>
          <w:rFonts w:hint="eastAsia"/>
        </w:rPr>
        <w:t>养恤金系数。如果残疾是由工伤或职业病造成，计算最低养恤金的年数为</w:t>
      </w:r>
      <w:r>
        <w:rPr>
          <w:rFonts w:hint="eastAsia"/>
        </w:rPr>
        <w:t>40</w:t>
      </w:r>
      <w:r>
        <w:rPr>
          <w:rFonts w:hint="eastAsia"/>
        </w:rPr>
        <w:t>。它也适用于如果被保险人的死亡是由工伤或职业病造成的遗属养恤金。调整方法与所有其他养恤金一样。无权享受养恤金的人：在就业或自营职业中的工伤残疾养恤金受益人</w:t>
      </w:r>
      <w:r>
        <w:rPr>
          <w:rFonts w:hint="eastAsia"/>
        </w:rPr>
        <w:t>(</w:t>
      </w:r>
      <w:r>
        <w:rPr>
          <w:rFonts w:hint="eastAsia"/>
        </w:rPr>
        <w:t>养恤金系数</w:t>
      </w:r>
      <w:r>
        <w:rPr>
          <w:rFonts w:hint="eastAsia"/>
        </w:rPr>
        <w:t>0.3333)</w:t>
      </w:r>
      <w:r>
        <w:rPr>
          <w:rFonts w:hint="eastAsia"/>
        </w:rPr>
        <w:t>。</w:t>
      </w:r>
    </w:p>
    <w:p w:rsidR="00000000" w:rsidRDefault="00000000">
      <w:pPr>
        <w:spacing w:after="320"/>
        <w:rPr>
          <w:rFonts w:hint="eastAsia"/>
        </w:rPr>
      </w:pPr>
      <w:r>
        <w:rPr>
          <w:rFonts w:hint="eastAsia"/>
        </w:rPr>
        <w:tab/>
      </w:r>
      <w:r>
        <w:rPr>
          <w:rFonts w:hint="eastAsia"/>
          <w:u w:val="single"/>
        </w:rPr>
        <w:t>最高养恤金</w:t>
      </w:r>
      <w:r>
        <w:rPr>
          <w:rFonts w:hint="eastAsia"/>
        </w:rPr>
        <w:t>：它由对《养恤金保险法案》作补充的特别法规定，对金额不作限制，以完成的合格期长短为准。限制只适用于依法确定的平均价值分数</w:t>
      </w:r>
      <w:r>
        <w:rPr>
          <w:rFonts w:hint="eastAsia"/>
          <w:spacing w:val="-40"/>
          <w:sz w:val="22"/>
        </w:rPr>
        <w:t>——</w:t>
      </w:r>
      <w:r>
        <w:rPr>
          <w:sz w:val="22"/>
        </w:rPr>
        <w:t xml:space="preserve"> </w:t>
      </w:r>
      <w:r>
        <w:rPr>
          <w:rFonts w:hint="eastAsia"/>
        </w:rPr>
        <w:t>完成的每年合格期为</w:t>
      </w:r>
      <w:r>
        <w:rPr>
          <w:rFonts w:hint="eastAsia"/>
        </w:rPr>
        <w:t>3.8,</w:t>
      </w:r>
      <w:r>
        <w:rPr>
          <w:rFonts w:hint="eastAsia"/>
        </w:rPr>
        <w:t>受益人，如果所挣工资较高，而完成的合格期较短，其最高养恤金额将低于完成的合格期较长的受益人。</w:t>
      </w:r>
    </w:p>
    <w:p w:rsidR="00000000" w:rsidRDefault="00000000">
      <w:pPr>
        <w:pStyle w:val="Heading4"/>
        <w:rPr>
          <w:rFonts w:hint="eastAsia"/>
        </w:rPr>
      </w:pPr>
      <w:r>
        <w:rPr>
          <w:rFonts w:hint="eastAsia"/>
        </w:rPr>
        <w:t>养恤金计算实例</w:t>
      </w:r>
    </w:p>
    <w:p w:rsidR="00000000" w:rsidRDefault="00000000">
      <w:pPr>
        <w:rPr>
          <w:rFonts w:hint="eastAsia"/>
        </w:rPr>
      </w:pPr>
      <w:r>
        <w:rPr>
          <w:rFonts w:hint="eastAsia"/>
        </w:rPr>
        <w:tab/>
        <w:t xml:space="preserve">1.  </w:t>
      </w:r>
      <w:r>
        <w:rPr>
          <w:rFonts w:hint="eastAsia"/>
          <w:u w:val="single"/>
        </w:rPr>
        <w:t>老年养恤金</w:t>
      </w:r>
      <w:r>
        <w:rPr>
          <w:rFonts w:hint="eastAsia"/>
        </w:rPr>
        <w:t>，男性</w:t>
      </w:r>
      <w:r>
        <w:rPr>
          <w:rFonts w:hint="eastAsia"/>
        </w:rPr>
        <w:t>. 1999</w:t>
      </w:r>
      <w:r>
        <w:rPr>
          <w:rFonts w:hint="eastAsia"/>
        </w:rPr>
        <w:t>年</w:t>
      </w:r>
      <w:r>
        <w:rPr>
          <w:rFonts w:hint="eastAsia"/>
        </w:rPr>
        <w:t>1</w:t>
      </w:r>
      <w:r>
        <w:rPr>
          <w:rFonts w:hint="eastAsia"/>
        </w:rPr>
        <w:t>月</w:t>
      </w:r>
      <w:r>
        <w:rPr>
          <w:rFonts w:hint="eastAsia"/>
        </w:rPr>
        <w:t>1</w:t>
      </w:r>
      <w:r>
        <w:rPr>
          <w:rFonts w:hint="eastAsia"/>
        </w:rPr>
        <w:t>日起有权享受，</w:t>
      </w:r>
      <w:r>
        <w:rPr>
          <w:rFonts w:hint="eastAsia"/>
        </w:rPr>
        <w:t>61</w:t>
      </w:r>
      <w:r>
        <w:rPr>
          <w:rFonts w:hint="eastAsia"/>
        </w:rPr>
        <w:t>岁，完成的合格期：</w:t>
      </w:r>
      <w:r>
        <w:rPr>
          <w:rFonts w:hint="eastAsia"/>
        </w:rPr>
        <w:t>1957</w:t>
      </w:r>
      <w:r>
        <w:rPr>
          <w:rFonts w:hint="eastAsia"/>
        </w:rPr>
        <w:t>年至</w:t>
      </w:r>
      <w:r>
        <w:rPr>
          <w:rFonts w:hint="eastAsia"/>
        </w:rPr>
        <w:t>1998</w:t>
      </w:r>
      <w:r>
        <w:rPr>
          <w:rFonts w:hint="eastAsia"/>
        </w:rPr>
        <w:t>年</w:t>
      </w:r>
      <w:r>
        <w:rPr>
          <w:rFonts w:hint="eastAsia"/>
        </w:rPr>
        <w:t>40</w:t>
      </w:r>
      <w:r>
        <w:rPr>
          <w:rFonts w:hint="eastAsia"/>
        </w:rPr>
        <w:t>年</w:t>
      </w:r>
      <w:r>
        <w:rPr>
          <w:rFonts w:hint="eastAsia"/>
        </w:rPr>
        <w:t>2</w:t>
      </w:r>
      <w:r>
        <w:rPr>
          <w:rFonts w:hint="eastAsia"/>
        </w:rPr>
        <w:t>个月</w:t>
      </w:r>
      <w:r>
        <w:rPr>
          <w:rFonts w:hint="eastAsia"/>
        </w:rPr>
        <w:t>17</w:t>
      </w:r>
      <w:r>
        <w:rPr>
          <w:rFonts w:hint="eastAsia"/>
        </w:rPr>
        <w:t>天。</w:t>
      </w:r>
    </w:p>
    <w:p w:rsidR="00000000" w:rsidRDefault="00000000">
      <w:pPr>
        <w:rPr>
          <w:rFonts w:hint="eastAsia"/>
        </w:rPr>
      </w:pPr>
      <w:r>
        <w:rPr>
          <w:rFonts w:hint="eastAsia"/>
        </w:rPr>
        <w:tab/>
      </w:r>
      <w:r>
        <w:rPr>
          <w:rFonts w:hint="eastAsia"/>
        </w:rPr>
        <w:t>过渡期：</w:t>
      </w:r>
      <w:r>
        <w:rPr>
          <w:rFonts w:hint="eastAsia"/>
        </w:rPr>
        <w:t>1999</w:t>
      </w:r>
      <w:r>
        <w:rPr>
          <w:rFonts w:hint="eastAsia"/>
        </w:rPr>
        <w:t>年的退休年龄男性为</w:t>
      </w:r>
      <w:r>
        <w:rPr>
          <w:rFonts w:hint="eastAsia"/>
        </w:rPr>
        <w:t>60</w:t>
      </w:r>
      <w:r>
        <w:rPr>
          <w:rFonts w:hint="eastAsia"/>
        </w:rPr>
        <w:t>岁</w:t>
      </w:r>
      <w:r>
        <w:rPr>
          <w:rFonts w:hint="eastAsia"/>
        </w:rPr>
        <w:t>6</w:t>
      </w:r>
      <w:r>
        <w:rPr>
          <w:rFonts w:hint="eastAsia"/>
        </w:rPr>
        <w:t>个月；但如果完成了</w:t>
      </w:r>
      <w:r>
        <w:rPr>
          <w:rFonts w:hint="eastAsia"/>
        </w:rPr>
        <w:t>40</w:t>
      </w:r>
      <w:r>
        <w:rPr>
          <w:rFonts w:hint="eastAsia"/>
        </w:rPr>
        <w:t>年的合格期，当时的退休年龄男性为</w:t>
      </w:r>
      <w:r>
        <w:rPr>
          <w:rFonts w:hint="eastAsia"/>
        </w:rPr>
        <w:t>55</w:t>
      </w:r>
      <w:r>
        <w:rPr>
          <w:rFonts w:hint="eastAsia"/>
        </w:rPr>
        <w:t>岁</w:t>
      </w:r>
      <w:r>
        <w:rPr>
          <w:rFonts w:hint="eastAsia"/>
        </w:rPr>
        <w:t>6</w:t>
      </w:r>
      <w:r>
        <w:rPr>
          <w:rFonts w:hint="eastAsia"/>
        </w:rPr>
        <w:t>个月，</w:t>
      </w:r>
      <w:r>
        <w:rPr>
          <w:rFonts w:hint="eastAsia"/>
        </w:rPr>
        <w:t>10</w:t>
      </w:r>
      <w:r>
        <w:rPr>
          <w:rFonts w:hint="eastAsia"/>
        </w:rPr>
        <w:t>个月最优惠挣钱期仍然适用于</w:t>
      </w:r>
      <w:r>
        <w:rPr>
          <w:rFonts w:hint="eastAsia"/>
        </w:rPr>
        <w:t>1999</w:t>
      </w:r>
      <w:r>
        <w:rPr>
          <w:rFonts w:hint="eastAsia"/>
        </w:rPr>
        <w:t>年。</w:t>
      </w:r>
    </w:p>
    <w:p w:rsidR="00000000" w:rsidRDefault="00000000">
      <w:pPr>
        <w:rPr>
          <w:rFonts w:hint="eastAsia"/>
        </w:rPr>
      </w:pPr>
      <w:r>
        <w:br w:type="page"/>
      </w:r>
      <w:r>
        <w:tab/>
      </w:r>
      <w:r>
        <w:rPr>
          <w:rFonts w:hint="eastAsia"/>
        </w:rPr>
        <w:t>1970</w:t>
      </w:r>
      <w:r>
        <w:rPr>
          <w:rFonts w:hint="eastAsia"/>
        </w:rPr>
        <w:t>年</w:t>
      </w:r>
      <w:r>
        <w:rPr>
          <w:rFonts w:hint="eastAsia"/>
        </w:rPr>
        <w:t>1</w:t>
      </w:r>
      <w:r>
        <w:rPr>
          <w:rFonts w:hint="eastAsia"/>
        </w:rPr>
        <w:t>月</w:t>
      </w:r>
      <w:r>
        <w:rPr>
          <w:rFonts w:hint="eastAsia"/>
        </w:rPr>
        <w:t>1</w:t>
      </w:r>
      <w:r>
        <w:rPr>
          <w:rFonts w:hint="eastAsia"/>
        </w:rPr>
        <w:t>日至</w:t>
      </w:r>
      <w:r>
        <w:rPr>
          <w:rFonts w:hint="eastAsia"/>
        </w:rPr>
        <w:t>1998</w:t>
      </w:r>
      <w:r>
        <w:rPr>
          <w:rFonts w:hint="eastAsia"/>
        </w:rPr>
        <w:t>年</w:t>
      </w:r>
      <w:r>
        <w:rPr>
          <w:rFonts w:hint="eastAsia"/>
        </w:rPr>
        <w:t>12</w:t>
      </w:r>
      <w:r>
        <w:rPr>
          <w:rFonts w:hint="eastAsia"/>
        </w:rPr>
        <w:t>月</w:t>
      </w:r>
      <w:r>
        <w:rPr>
          <w:rFonts w:hint="eastAsia"/>
        </w:rPr>
        <w:t>31</w:t>
      </w:r>
      <w:r>
        <w:rPr>
          <w:rFonts w:hint="eastAsia"/>
        </w:rPr>
        <w:t>日最初受益的收入情况：</w:t>
      </w:r>
    </w:p>
    <w:p w:rsidR="00000000" w:rsidRDefault="0000000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966"/>
        <w:gridCol w:w="1050"/>
        <w:gridCol w:w="1575"/>
        <w:gridCol w:w="945"/>
        <w:gridCol w:w="1155"/>
        <w:gridCol w:w="1585"/>
        <w:gridCol w:w="1157"/>
      </w:tblGrid>
      <w:tr w:rsidR="00000000">
        <w:tblPrEx>
          <w:tblCellMar>
            <w:top w:w="0" w:type="dxa"/>
            <w:bottom w:w="0" w:type="dxa"/>
          </w:tblCellMar>
        </w:tblPrEx>
        <w:tc>
          <w:tcPr>
            <w:tcW w:w="1137" w:type="dxa"/>
          </w:tcPr>
          <w:p w:rsidR="00000000" w:rsidRDefault="00000000">
            <w:pPr>
              <w:spacing w:before="120" w:after="60" w:line="240" w:lineRule="exact"/>
              <w:jc w:val="center"/>
              <w:rPr>
                <w:rFonts w:hint="eastAsia"/>
                <w:sz w:val="20"/>
              </w:rPr>
            </w:pPr>
            <w:r>
              <w:rPr>
                <w:rFonts w:hint="eastAsia"/>
                <w:sz w:val="20"/>
              </w:rPr>
              <w:t>年</w:t>
            </w:r>
            <w:r>
              <w:rPr>
                <w:rFonts w:hint="eastAsia"/>
                <w:sz w:val="20"/>
              </w:rPr>
              <w:t xml:space="preserve">  </w:t>
            </w:r>
            <w:r>
              <w:rPr>
                <w:rFonts w:hint="eastAsia"/>
                <w:sz w:val="20"/>
              </w:rPr>
              <w:t>份</w:t>
            </w:r>
          </w:p>
        </w:tc>
        <w:tc>
          <w:tcPr>
            <w:tcW w:w="966" w:type="dxa"/>
          </w:tcPr>
          <w:p w:rsidR="00000000" w:rsidRDefault="00000000">
            <w:pPr>
              <w:spacing w:before="120" w:after="60" w:line="240" w:lineRule="exact"/>
              <w:jc w:val="center"/>
              <w:rPr>
                <w:rFonts w:hint="eastAsia"/>
                <w:sz w:val="20"/>
              </w:rPr>
            </w:pPr>
            <w:r>
              <w:rPr>
                <w:rFonts w:hint="eastAsia"/>
                <w:sz w:val="20"/>
              </w:rPr>
              <w:t>时</w:t>
            </w:r>
            <w:r>
              <w:rPr>
                <w:sz w:val="20"/>
              </w:rPr>
              <w:t xml:space="preserve"> </w:t>
            </w:r>
            <w:r>
              <w:rPr>
                <w:rFonts w:hint="eastAsia"/>
                <w:sz w:val="20"/>
              </w:rPr>
              <w:t>期</w:t>
            </w:r>
            <w:r>
              <w:rPr>
                <w:sz w:val="20"/>
              </w:rPr>
              <w:br/>
            </w:r>
            <w:r>
              <w:rPr>
                <w:rFonts w:hint="eastAsia"/>
                <w:sz w:val="20"/>
              </w:rPr>
              <w:t>(</w:t>
            </w:r>
            <w:r>
              <w:rPr>
                <w:rFonts w:hint="eastAsia"/>
                <w:sz w:val="20"/>
              </w:rPr>
              <w:t>月份</w:t>
            </w:r>
            <w:r>
              <w:rPr>
                <w:rFonts w:hint="eastAsia"/>
                <w:sz w:val="20"/>
              </w:rPr>
              <w:t>)</w:t>
            </w:r>
          </w:p>
        </w:tc>
        <w:tc>
          <w:tcPr>
            <w:tcW w:w="1050" w:type="dxa"/>
          </w:tcPr>
          <w:p w:rsidR="00000000" w:rsidRDefault="00000000">
            <w:pPr>
              <w:spacing w:before="120" w:after="60" w:line="240" w:lineRule="exact"/>
              <w:jc w:val="center"/>
              <w:rPr>
                <w:rFonts w:hint="eastAsia"/>
                <w:sz w:val="20"/>
              </w:rPr>
            </w:pPr>
            <w:r>
              <w:rPr>
                <w:rFonts w:hint="eastAsia"/>
                <w:sz w:val="20"/>
              </w:rPr>
              <w:t>工作</w:t>
            </w:r>
            <w:r>
              <w:rPr>
                <w:sz w:val="20"/>
              </w:rPr>
              <w:br/>
            </w:r>
            <w:r>
              <w:rPr>
                <w:rFonts w:hint="eastAsia"/>
                <w:sz w:val="20"/>
              </w:rPr>
              <w:t>实数</w:t>
            </w:r>
          </w:p>
        </w:tc>
        <w:tc>
          <w:tcPr>
            <w:tcW w:w="1575" w:type="dxa"/>
          </w:tcPr>
          <w:p w:rsidR="00000000" w:rsidRDefault="00000000">
            <w:pPr>
              <w:spacing w:before="120" w:after="60" w:line="240" w:lineRule="exact"/>
              <w:jc w:val="center"/>
              <w:rPr>
                <w:rFonts w:hint="eastAsia"/>
                <w:sz w:val="20"/>
              </w:rPr>
            </w:pPr>
            <w:r>
              <w:rPr>
                <w:rFonts w:hint="eastAsia"/>
                <w:sz w:val="20"/>
              </w:rPr>
              <w:t>年工资</w:t>
            </w:r>
          </w:p>
        </w:tc>
        <w:tc>
          <w:tcPr>
            <w:tcW w:w="945" w:type="dxa"/>
          </w:tcPr>
          <w:p w:rsidR="00000000" w:rsidRDefault="00000000">
            <w:pPr>
              <w:spacing w:before="120" w:after="60" w:line="240" w:lineRule="exact"/>
              <w:jc w:val="center"/>
              <w:rPr>
                <w:rFonts w:hint="eastAsia"/>
                <w:sz w:val="20"/>
              </w:rPr>
            </w:pPr>
            <w:r>
              <w:rPr>
                <w:rFonts w:hint="eastAsia"/>
                <w:sz w:val="20"/>
              </w:rPr>
              <w:t>病假</w:t>
            </w:r>
            <w:r>
              <w:rPr>
                <w:sz w:val="20"/>
              </w:rPr>
              <w:br/>
            </w:r>
            <w:r>
              <w:rPr>
                <w:rFonts w:hint="eastAsia"/>
                <w:sz w:val="20"/>
              </w:rPr>
              <w:t>实数</w:t>
            </w:r>
          </w:p>
        </w:tc>
        <w:tc>
          <w:tcPr>
            <w:tcW w:w="1155" w:type="dxa"/>
          </w:tcPr>
          <w:p w:rsidR="00000000" w:rsidRDefault="00000000">
            <w:pPr>
              <w:spacing w:before="120" w:after="60" w:line="240" w:lineRule="exact"/>
              <w:jc w:val="center"/>
              <w:rPr>
                <w:rFonts w:hint="eastAsia"/>
                <w:sz w:val="20"/>
              </w:rPr>
            </w:pPr>
            <w:r>
              <w:rPr>
                <w:rFonts w:hint="eastAsia"/>
                <w:sz w:val="20"/>
              </w:rPr>
              <w:t>总实数</w:t>
            </w:r>
          </w:p>
        </w:tc>
        <w:tc>
          <w:tcPr>
            <w:tcW w:w="1585" w:type="dxa"/>
          </w:tcPr>
          <w:p w:rsidR="00000000" w:rsidRDefault="00000000">
            <w:pPr>
              <w:spacing w:before="120" w:after="60" w:line="240" w:lineRule="exact"/>
              <w:ind w:left="-57" w:right="-57"/>
              <w:jc w:val="center"/>
              <w:rPr>
                <w:rFonts w:hint="eastAsia"/>
                <w:spacing w:val="0"/>
                <w:sz w:val="20"/>
              </w:rPr>
            </w:pPr>
            <w:r>
              <w:rPr>
                <w:rFonts w:hint="eastAsia"/>
                <w:spacing w:val="0"/>
                <w:sz w:val="20"/>
              </w:rPr>
              <w:t>克罗地亚年</w:t>
            </w:r>
            <w:r>
              <w:rPr>
                <w:spacing w:val="0"/>
                <w:sz w:val="20"/>
              </w:rPr>
              <w:br/>
            </w:r>
            <w:r>
              <w:rPr>
                <w:rFonts w:hint="eastAsia"/>
                <w:spacing w:val="0"/>
                <w:sz w:val="20"/>
              </w:rPr>
              <w:t>平均工资</w:t>
            </w:r>
          </w:p>
        </w:tc>
        <w:tc>
          <w:tcPr>
            <w:tcW w:w="1157" w:type="dxa"/>
          </w:tcPr>
          <w:p w:rsidR="00000000" w:rsidRDefault="00000000">
            <w:pPr>
              <w:spacing w:before="120" w:after="60" w:line="240" w:lineRule="exact"/>
              <w:jc w:val="center"/>
              <w:rPr>
                <w:rFonts w:hint="eastAsia"/>
                <w:sz w:val="20"/>
              </w:rPr>
            </w:pPr>
            <w:r>
              <w:rPr>
                <w:rFonts w:hint="eastAsia"/>
                <w:sz w:val="20"/>
              </w:rPr>
              <w:t>年价值</w:t>
            </w:r>
            <w:r>
              <w:rPr>
                <w:sz w:val="20"/>
              </w:rPr>
              <w:br/>
            </w:r>
            <w:r>
              <w:rPr>
                <w:rFonts w:hint="eastAsia"/>
                <w:sz w:val="20"/>
              </w:rPr>
              <w:t>分</w:t>
            </w:r>
            <w:r>
              <w:rPr>
                <w:rFonts w:hint="eastAsia"/>
                <w:sz w:val="20"/>
              </w:rPr>
              <w:t xml:space="preserve">  </w:t>
            </w:r>
            <w:r>
              <w:rPr>
                <w:rFonts w:hint="eastAsia"/>
                <w:sz w:val="20"/>
              </w:rPr>
              <w:t>数</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1970</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2343</w:t>
            </w:r>
          </w:p>
        </w:tc>
        <w:tc>
          <w:tcPr>
            <w:tcW w:w="1575" w:type="dxa"/>
          </w:tcPr>
          <w:p w:rsidR="00000000" w:rsidRDefault="00000000">
            <w:pPr>
              <w:spacing w:before="40" w:line="288" w:lineRule="auto"/>
              <w:ind w:right="170"/>
              <w:jc w:val="right"/>
              <w:rPr>
                <w:rFonts w:hint="eastAsia"/>
                <w:sz w:val="20"/>
              </w:rPr>
            </w:pPr>
            <w:r>
              <w:rPr>
                <w:rFonts w:hint="eastAsia"/>
                <w:sz w:val="20"/>
              </w:rPr>
              <w:t>3.67</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2343</w:t>
            </w:r>
          </w:p>
        </w:tc>
        <w:tc>
          <w:tcPr>
            <w:tcW w:w="1585" w:type="dxa"/>
          </w:tcPr>
          <w:p w:rsidR="00000000" w:rsidRDefault="00000000">
            <w:pPr>
              <w:spacing w:before="40" w:line="288" w:lineRule="auto"/>
              <w:ind w:right="170"/>
              <w:jc w:val="right"/>
              <w:rPr>
                <w:rFonts w:hint="eastAsia"/>
                <w:sz w:val="20"/>
              </w:rPr>
            </w:pPr>
            <w:r>
              <w:rPr>
                <w:rFonts w:hint="eastAsia"/>
                <w:sz w:val="20"/>
              </w:rPr>
              <w:t>1.51</w:t>
            </w:r>
          </w:p>
        </w:tc>
        <w:tc>
          <w:tcPr>
            <w:tcW w:w="1157" w:type="dxa"/>
          </w:tcPr>
          <w:p w:rsidR="00000000" w:rsidRDefault="00000000">
            <w:pPr>
              <w:spacing w:before="40" w:line="288" w:lineRule="auto"/>
              <w:jc w:val="center"/>
              <w:rPr>
                <w:rFonts w:hint="eastAsia"/>
                <w:sz w:val="20"/>
              </w:rPr>
            </w:pPr>
            <w:r>
              <w:rPr>
                <w:rFonts w:hint="eastAsia"/>
                <w:sz w:val="20"/>
              </w:rPr>
              <w:t>2.4305</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1971</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2452</w:t>
            </w:r>
          </w:p>
        </w:tc>
        <w:tc>
          <w:tcPr>
            <w:tcW w:w="1575" w:type="dxa"/>
          </w:tcPr>
          <w:p w:rsidR="00000000" w:rsidRDefault="00000000">
            <w:pPr>
              <w:spacing w:before="40" w:line="288" w:lineRule="auto"/>
              <w:ind w:right="170"/>
              <w:jc w:val="right"/>
              <w:rPr>
                <w:rFonts w:hint="eastAsia"/>
                <w:sz w:val="20"/>
              </w:rPr>
            </w:pPr>
            <w:r>
              <w:rPr>
                <w:rFonts w:hint="eastAsia"/>
                <w:sz w:val="20"/>
              </w:rPr>
              <w:t>6.07</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2452</w:t>
            </w:r>
          </w:p>
        </w:tc>
        <w:tc>
          <w:tcPr>
            <w:tcW w:w="1585" w:type="dxa"/>
          </w:tcPr>
          <w:p w:rsidR="00000000" w:rsidRDefault="00000000">
            <w:pPr>
              <w:spacing w:before="40" w:line="288" w:lineRule="auto"/>
              <w:ind w:right="170"/>
              <w:jc w:val="right"/>
              <w:rPr>
                <w:rFonts w:hint="eastAsia"/>
                <w:sz w:val="20"/>
              </w:rPr>
            </w:pPr>
            <w:r>
              <w:rPr>
                <w:rFonts w:hint="eastAsia"/>
                <w:sz w:val="20"/>
              </w:rPr>
              <w:t>1.88</w:t>
            </w:r>
          </w:p>
        </w:tc>
        <w:tc>
          <w:tcPr>
            <w:tcW w:w="1157" w:type="dxa"/>
          </w:tcPr>
          <w:p w:rsidR="00000000" w:rsidRDefault="00000000">
            <w:pPr>
              <w:spacing w:before="40" w:line="288" w:lineRule="auto"/>
              <w:jc w:val="center"/>
              <w:rPr>
                <w:rFonts w:hint="eastAsia"/>
                <w:sz w:val="20"/>
              </w:rPr>
            </w:pPr>
            <w:r>
              <w:rPr>
                <w:rFonts w:hint="eastAsia"/>
                <w:sz w:val="20"/>
              </w:rPr>
              <w:t>3.2287</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1972</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2380</w:t>
            </w:r>
          </w:p>
        </w:tc>
        <w:tc>
          <w:tcPr>
            <w:tcW w:w="1575" w:type="dxa"/>
          </w:tcPr>
          <w:p w:rsidR="00000000" w:rsidRDefault="00000000">
            <w:pPr>
              <w:spacing w:before="40" w:line="288" w:lineRule="auto"/>
              <w:ind w:right="170"/>
              <w:jc w:val="right"/>
              <w:rPr>
                <w:rFonts w:hint="eastAsia"/>
                <w:sz w:val="20"/>
              </w:rPr>
            </w:pPr>
            <w:r>
              <w:rPr>
                <w:rFonts w:hint="eastAsia"/>
                <w:sz w:val="20"/>
              </w:rPr>
              <w:t>7.79</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2380</w:t>
            </w:r>
          </w:p>
        </w:tc>
        <w:tc>
          <w:tcPr>
            <w:tcW w:w="1585" w:type="dxa"/>
          </w:tcPr>
          <w:p w:rsidR="00000000" w:rsidRDefault="00000000">
            <w:pPr>
              <w:spacing w:before="40" w:line="288" w:lineRule="auto"/>
              <w:ind w:right="170"/>
              <w:jc w:val="right"/>
              <w:rPr>
                <w:rFonts w:hint="eastAsia"/>
                <w:sz w:val="20"/>
              </w:rPr>
            </w:pPr>
            <w:r>
              <w:rPr>
                <w:rFonts w:hint="eastAsia"/>
                <w:sz w:val="20"/>
              </w:rPr>
              <w:t>2.21</w:t>
            </w:r>
          </w:p>
        </w:tc>
        <w:tc>
          <w:tcPr>
            <w:tcW w:w="1157" w:type="dxa"/>
          </w:tcPr>
          <w:p w:rsidR="00000000" w:rsidRDefault="00000000">
            <w:pPr>
              <w:spacing w:before="40" w:line="288" w:lineRule="auto"/>
              <w:jc w:val="center"/>
              <w:rPr>
                <w:rFonts w:hint="eastAsia"/>
                <w:sz w:val="20"/>
              </w:rPr>
            </w:pPr>
            <w:r>
              <w:rPr>
                <w:rFonts w:hint="eastAsia"/>
                <w:sz w:val="20"/>
              </w:rPr>
              <w:t>3.5249</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1973</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2383</w:t>
            </w:r>
          </w:p>
        </w:tc>
        <w:tc>
          <w:tcPr>
            <w:tcW w:w="1575" w:type="dxa"/>
          </w:tcPr>
          <w:p w:rsidR="00000000" w:rsidRDefault="00000000">
            <w:pPr>
              <w:spacing w:before="40" w:line="288" w:lineRule="auto"/>
              <w:ind w:right="170"/>
              <w:jc w:val="right"/>
              <w:rPr>
                <w:rFonts w:hint="eastAsia"/>
                <w:sz w:val="20"/>
              </w:rPr>
            </w:pPr>
            <w:r>
              <w:rPr>
                <w:rFonts w:hint="eastAsia"/>
                <w:sz w:val="20"/>
              </w:rPr>
              <w:t>8.64</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2383</w:t>
            </w:r>
          </w:p>
        </w:tc>
        <w:tc>
          <w:tcPr>
            <w:tcW w:w="1585" w:type="dxa"/>
          </w:tcPr>
          <w:p w:rsidR="00000000" w:rsidRDefault="00000000">
            <w:pPr>
              <w:spacing w:before="40" w:line="288" w:lineRule="auto"/>
              <w:ind w:right="170"/>
              <w:jc w:val="right"/>
              <w:rPr>
                <w:rFonts w:hint="eastAsia"/>
                <w:sz w:val="20"/>
              </w:rPr>
            </w:pPr>
            <w:r>
              <w:rPr>
                <w:rFonts w:hint="eastAsia"/>
                <w:sz w:val="20"/>
              </w:rPr>
              <w:t>2.50</w:t>
            </w:r>
          </w:p>
        </w:tc>
        <w:tc>
          <w:tcPr>
            <w:tcW w:w="1157" w:type="dxa"/>
          </w:tcPr>
          <w:p w:rsidR="00000000" w:rsidRDefault="00000000">
            <w:pPr>
              <w:spacing w:before="40" w:line="288" w:lineRule="auto"/>
              <w:jc w:val="center"/>
              <w:rPr>
                <w:rFonts w:hint="eastAsia"/>
                <w:sz w:val="20"/>
              </w:rPr>
            </w:pPr>
            <w:r>
              <w:rPr>
                <w:rFonts w:hint="eastAsia"/>
                <w:sz w:val="20"/>
              </w:rPr>
              <w:t>3.4560</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1974</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2407</w:t>
            </w:r>
          </w:p>
        </w:tc>
        <w:tc>
          <w:tcPr>
            <w:tcW w:w="1575" w:type="dxa"/>
          </w:tcPr>
          <w:p w:rsidR="00000000" w:rsidRDefault="00000000">
            <w:pPr>
              <w:spacing w:before="40" w:line="288" w:lineRule="auto"/>
              <w:ind w:right="170"/>
              <w:jc w:val="right"/>
              <w:rPr>
                <w:rFonts w:hint="eastAsia"/>
                <w:sz w:val="20"/>
              </w:rPr>
            </w:pPr>
            <w:r>
              <w:rPr>
                <w:rFonts w:hint="eastAsia"/>
                <w:sz w:val="20"/>
              </w:rPr>
              <w:t>9.93</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2407</w:t>
            </w:r>
          </w:p>
        </w:tc>
        <w:tc>
          <w:tcPr>
            <w:tcW w:w="1585" w:type="dxa"/>
          </w:tcPr>
          <w:p w:rsidR="00000000" w:rsidRDefault="00000000">
            <w:pPr>
              <w:spacing w:before="40" w:line="288" w:lineRule="auto"/>
              <w:ind w:right="170"/>
              <w:jc w:val="right"/>
              <w:rPr>
                <w:rFonts w:hint="eastAsia"/>
                <w:sz w:val="20"/>
              </w:rPr>
            </w:pPr>
            <w:r>
              <w:rPr>
                <w:rFonts w:hint="eastAsia"/>
                <w:sz w:val="20"/>
              </w:rPr>
              <w:t>3.15</w:t>
            </w:r>
          </w:p>
        </w:tc>
        <w:tc>
          <w:tcPr>
            <w:tcW w:w="1157" w:type="dxa"/>
          </w:tcPr>
          <w:p w:rsidR="00000000" w:rsidRDefault="00000000">
            <w:pPr>
              <w:spacing w:before="40" w:line="288" w:lineRule="auto"/>
              <w:jc w:val="center"/>
              <w:rPr>
                <w:rFonts w:hint="eastAsia"/>
                <w:sz w:val="20"/>
              </w:rPr>
            </w:pPr>
            <w:r>
              <w:rPr>
                <w:rFonts w:hint="eastAsia"/>
                <w:sz w:val="20"/>
              </w:rPr>
              <w:t>3.1524</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1975</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2380</w:t>
            </w:r>
          </w:p>
        </w:tc>
        <w:tc>
          <w:tcPr>
            <w:tcW w:w="1575" w:type="dxa"/>
          </w:tcPr>
          <w:p w:rsidR="00000000" w:rsidRDefault="00000000">
            <w:pPr>
              <w:spacing w:before="40" w:line="288" w:lineRule="auto"/>
              <w:ind w:right="170"/>
              <w:jc w:val="right"/>
              <w:rPr>
                <w:rFonts w:hint="eastAsia"/>
                <w:sz w:val="20"/>
              </w:rPr>
            </w:pPr>
            <w:r>
              <w:rPr>
                <w:rFonts w:hint="eastAsia"/>
                <w:sz w:val="20"/>
              </w:rPr>
              <w:t>11.40</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2380</w:t>
            </w:r>
          </w:p>
        </w:tc>
        <w:tc>
          <w:tcPr>
            <w:tcW w:w="1585" w:type="dxa"/>
          </w:tcPr>
          <w:p w:rsidR="00000000" w:rsidRDefault="00000000">
            <w:pPr>
              <w:spacing w:before="40" w:line="288" w:lineRule="auto"/>
              <w:ind w:right="170"/>
              <w:jc w:val="right"/>
              <w:rPr>
                <w:rFonts w:hint="eastAsia"/>
                <w:sz w:val="20"/>
              </w:rPr>
            </w:pPr>
            <w:r>
              <w:rPr>
                <w:rFonts w:hint="eastAsia"/>
                <w:sz w:val="20"/>
              </w:rPr>
              <w:t>3.89</w:t>
            </w:r>
          </w:p>
        </w:tc>
        <w:tc>
          <w:tcPr>
            <w:tcW w:w="1157" w:type="dxa"/>
          </w:tcPr>
          <w:p w:rsidR="00000000" w:rsidRDefault="00000000">
            <w:pPr>
              <w:spacing w:before="40" w:line="288" w:lineRule="auto"/>
              <w:jc w:val="center"/>
              <w:rPr>
                <w:rFonts w:hint="eastAsia"/>
                <w:sz w:val="20"/>
              </w:rPr>
            </w:pPr>
            <w:r>
              <w:rPr>
                <w:rFonts w:hint="eastAsia"/>
                <w:sz w:val="20"/>
              </w:rPr>
              <w:t>2.9306</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1976</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2200</w:t>
            </w:r>
          </w:p>
        </w:tc>
        <w:tc>
          <w:tcPr>
            <w:tcW w:w="1575" w:type="dxa"/>
          </w:tcPr>
          <w:p w:rsidR="00000000" w:rsidRDefault="00000000">
            <w:pPr>
              <w:spacing w:before="40" w:line="288" w:lineRule="auto"/>
              <w:ind w:right="170"/>
              <w:jc w:val="right"/>
              <w:rPr>
                <w:rFonts w:hint="eastAsia"/>
                <w:sz w:val="20"/>
              </w:rPr>
            </w:pPr>
            <w:r>
              <w:rPr>
                <w:rFonts w:hint="eastAsia"/>
                <w:sz w:val="20"/>
              </w:rPr>
              <w:t>9.25</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2200</w:t>
            </w:r>
          </w:p>
        </w:tc>
        <w:tc>
          <w:tcPr>
            <w:tcW w:w="1585" w:type="dxa"/>
          </w:tcPr>
          <w:p w:rsidR="00000000" w:rsidRDefault="00000000">
            <w:pPr>
              <w:spacing w:before="40" w:line="288" w:lineRule="auto"/>
              <w:ind w:right="170"/>
              <w:jc w:val="right"/>
              <w:rPr>
                <w:rFonts w:hint="eastAsia"/>
                <w:sz w:val="20"/>
              </w:rPr>
            </w:pPr>
            <w:r>
              <w:rPr>
                <w:rFonts w:hint="eastAsia"/>
                <w:sz w:val="20"/>
              </w:rPr>
              <w:t>4.52</w:t>
            </w:r>
          </w:p>
        </w:tc>
        <w:tc>
          <w:tcPr>
            <w:tcW w:w="1157" w:type="dxa"/>
          </w:tcPr>
          <w:p w:rsidR="00000000" w:rsidRDefault="00000000">
            <w:pPr>
              <w:spacing w:before="40" w:line="288" w:lineRule="auto"/>
              <w:jc w:val="center"/>
              <w:rPr>
                <w:rFonts w:hint="eastAsia"/>
                <w:sz w:val="20"/>
              </w:rPr>
            </w:pPr>
            <w:r>
              <w:rPr>
                <w:rFonts w:hint="eastAsia"/>
                <w:sz w:val="20"/>
              </w:rPr>
              <w:t>2.0509</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1977</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2032</w:t>
            </w:r>
          </w:p>
        </w:tc>
        <w:tc>
          <w:tcPr>
            <w:tcW w:w="1575" w:type="dxa"/>
          </w:tcPr>
          <w:p w:rsidR="00000000" w:rsidRDefault="00000000">
            <w:pPr>
              <w:spacing w:before="40" w:line="288" w:lineRule="auto"/>
              <w:ind w:right="170"/>
              <w:jc w:val="right"/>
              <w:rPr>
                <w:rFonts w:hint="eastAsia"/>
                <w:sz w:val="20"/>
              </w:rPr>
            </w:pPr>
            <w:r>
              <w:rPr>
                <w:rFonts w:hint="eastAsia"/>
                <w:sz w:val="20"/>
              </w:rPr>
              <w:t>9.56</w:t>
            </w:r>
          </w:p>
        </w:tc>
        <w:tc>
          <w:tcPr>
            <w:tcW w:w="945" w:type="dxa"/>
          </w:tcPr>
          <w:p w:rsidR="00000000" w:rsidRDefault="00000000">
            <w:pPr>
              <w:spacing w:before="40" w:line="288" w:lineRule="auto"/>
              <w:jc w:val="center"/>
              <w:rPr>
                <w:rFonts w:hint="eastAsia"/>
                <w:sz w:val="20"/>
              </w:rPr>
            </w:pPr>
            <w:r>
              <w:rPr>
                <w:rFonts w:hint="eastAsia"/>
                <w:sz w:val="20"/>
              </w:rPr>
              <w:t>152</w:t>
            </w:r>
          </w:p>
        </w:tc>
        <w:tc>
          <w:tcPr>
            <w:tcW w:w="1155" w:type="dxa"/>
          </w:tcPr>
          <w:p w:rsidR="00000000" w:rsidRDefault="00000000">
            <w:pPr>
              <w:spacing w:before="40" w:line="288" w:lineRule="auto"/>
              <w:jc w:val="center"/>
              <w:rPr>
                <w:rFonts w:hint="eastAsia"/>
                <w:sz w:val="20"/>
              </w:rPr>
            </w:pPr>
            <w:r>
              <w:rPr>
                <w:rFonts w:hint="eastAsia"/>
                <w:sz w:val="20"/>
              </w:rPr>
              <w:t>2184</w:t>
            </w:r>
          </w:p>
        </w:tc>
        <w:tc>
          <w:tcPr>
            <w:tcW w:w="1585" w:type="dxa"/>
          </w:tcPr>
          <w:p w:rsidR="00000000" w:rsidRDefault="00000000">
            <w:pPr>
              <w:spacing w:before="40" w:line="288" w:lineRule="auto"/>
              <w:ind w:right="170"/>
              <w:jc w:val="right"/>
              <w:rPr>
                <w:rFonts w:hint="eastAsia"/>
                <w:sz w:val="20"/>
              </w:rPr>
            </w:pPr>
            <w:r>
              <w:rPr>
                <w:rFonts w:hint="eastAsia"/>
                <w:sz w:val="20"/>
              </w:rPr>
              <w:t>5.37</w:t>
            </w:r>
          </w:p>
        </w:tc>
        <w:tc>
          <w:tcPr>
            <w:tcW w:w="1157" w:type="dxa"/>
          </w:tcPr>
          <w:p w:rsidR="00000000" w:rsidRDefault="00000000">
            <w:pPr>
              <w:spacing w:before="40" w:line="288" w:lineRule="auto"/>
              <w:jc w:val="center"/>
              <w:rPr>
                <w:rFonts w:hint="eastAsia"/>
                <w:sz w:val="20"/>
              </w:rPr>
            </w:pPr>
            <w:r>
              <w:rPr>
                <w:rFonts w:hint="eastAsia"/>
                <w:sz w:val="20"/>
              </w:rPr>
              <w:t>1.9495</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1978</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2058</w:t>
            </w:r>
          </w:p>
        </w:tc>
        <w:tc>
          <w:tcPr>
            <w:tcW w:w="1575" w:type="dxa"/>
          </w:tcPr>
          <w:p w:rsidR="00000000" w:rsidRDefault="00000000">
            <w:pPr>
              <w:spacing w:before="40" w:line="288" w:lineRule="auto"/>
              <w:ind w:right="170"/>
              <w:jc w:val="right"/>
              <w:rPr>
                <w:rFonts w:hint="eastAsia"/>
                <w:sz w:val="20"/>
              </w:rPr>
            </w:pPr>
            <w:r>
              <w:rPr>
                <w:rFonts w:hint="eastAsia"/>
                <w:sz w:val="20"/>
              </w:rPr>
              <w:t>17.54</w:t>
            </w:r>
          </w:p>
        </w:tc>
        <w:tc>
          <w:tcPr>
            <w:tcW w:w="945" w:type="dxa"/>
          </w:tcPr>
          <w:p w:rsidR="00000000" w:rsidRDefault="00000000">
            <w:pPr>
              <w:spacing w:before="40" w:line="288" w:lineRule="auto"/>
              <w:jc w:val="center"/>
              <w:rPr>
                <w:rFonts w:hint="eastAsia"/>
                <w:sz w:val="20"/>
              </w:rPr>
            </w:pPr>
            <w:r>
              <w:rPr>
                <w:rFonts w:hint="eastAsia"/>
                <w:sz w:val="20"/>
              </w:rPr>
              <w:t>126</w:t>
            </w:r>
          </w:p>
        </w:tc>
        <w:tc>
          <w:tcPr>
            <w:tcW w:w="1155" w:type="dxa"/>
          </w:tcPr>
          <w:p w:rsidR="00000000" w:rsidRDefault="00000000">
            <w:pPr>
              <w:spacing w:before="40" w:line="288" w:lineRule="auto"/>
              <w:jc w:val="center"/>
              <w:rPr>
                <w:rFonts w:hint="eastAsia"/>
                <w:sz w:val="20"/>
              </w:rPr>
            </w:pPr>
            <w:r>
              <w:rPr>
                <w:rFonts w:hint="eastAsia"/>
                <w:sz w:val="20"/>
              </w:rPr>
              <w:t>2184</w:t>
            </w:r>
          </w:p>
        </w:tc>
        <w:tc>
          <w:tcPr>
            <w:tcW w:w="1585" w:type="dxa"/>
          </w:tcPr>
          <w:p w:rsidR="00000000" w:rsidRDefault="00000000">
            <w:pPr>
              <w:spacing w:before="40" w:line="288" w:lineRule="auto"/>
              <w:ind w:right="170"/>
              <w:jc w:val="right"/>
              <w:rPr>
                <w:rFonts w:hint="eastAsia"/>
                <w:sz w:val="20"/>
              </w:rPr>
            </w:pPr>
            <w:r>
              <w:rPr>
                <w:rFonts w:hint="eastAsia"/>
                <w:sz w:val="20"/>
              </w:rPr>
              <w:t>6.52</w:t>
            </w:r>
          </w:p>
        </w:tc>
        <w:tc>
          <w:tcPr>
            <w:tcW w:w="1157" w:type="dxa"/>
          </w:tcPr>
          <w:p w:rsidR="00000000" w:rsidRDefault="00000000">
            <w:pPr>
              <w:spacing w:before="40" w:line="288" w:lineRule="auto"/>
              <w:jc w:val="center"/>
              <w:rPr>
                <w:rFonts w:hint="eastAsia"/>
                <w:sz w:val="20"/>
              </w:rPr>
            </w:pPr>
            <w:r>
              <w:rPr>
                <w:rFonts w:hint="eastAsia"/>
                <w:sz w:val="20"/>
              </w:rPr>
              <w:t>2.8305</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1979</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1564</w:t>
            </w:r>
          </w:p>
        </w:tc>
        <w:tc>
          <w:tcPr>
            <w:tcW w:w="1575" w:type="dxa"/>
          </w:tcPr>
          <w:p w:rsidR="00000000" w:rsidRDefault="00000000">
            <w:pPr>
              <w:spacing w:before="40" w:line="288" w:lineRule="auto"/>
              <w:ind w:right="170"/>
              <w:jc w:val="right"/>
              <w:rPr>
                <w:rFonts w:hint="eastAsia"/>
                <w:sz w:val="20"/>
              </w:rPr>
            </w:pPr>
            <w:r>
              <w:rPr>
                <w:rFonts w:hint="eastAsia"/>
                <w:sz w:val="20"/>
              </w:rPr>
              <w:t>12.03</w:t>
            </w:r>
          </w:p>
        </w:tc>
        <w:tc>
          <w:tcPr>
            <w:tcW w:w="945" w:type="dxa"/>
          </w:tcPr>
          <w:p w:rsidR="00000000" w:rsidRDefault="00000000">
            <w:pPr>
              <w:spacing w:before="40" w:line="288" w:lineRule="auto"/>
              <w:jc w:val="center"/>
              <w:rPr>
                <w:rFonts w:hint="eastAsia"/>
                <w:sz w:val="20"/>
              </w:rPr>
            </w:pPr>
            <w:r>
              <w:rPr>
                <w:rFonts w:hint="eastAsia"/>
                <w:sz w:val="20"/>
              </w:rPr>
              <w:t>630</w:t>
            </w:r>
          </w:p>
        </w:tc>
        <w:tc>
          <w:tcPr>
            <w:tcW w:w="1155" w:type="dxa"/>
          </w:tcPr>
          <w:p w:rsidR="00000000" w:rsidRDefault="00000000">
            <w:pPr>
              <w:spacing w:before="40" w:line="288" w:lineRule="auto"/>
              <w:jc w:val="center"/>
              <w:rPr>
                <w:rFonts w:hint="eastAsia"/>
                <w:sz w:val="20"/>
              </w:rPr>
            </w:pPr>
            <w:r>
              <w:rPr>
                <w:rFonts w:hint="eastAsia"/>
                <w:sz w:val="20"/>
              </w:rPr>
              <w:t>2194</w:t>
            </w:r>
          </w:p>
        </w:tc>
        <w:tc>
          <w:tcPr>
            <w:tcW w:w="1585" w:type="dxa"/>
          </w:tcPr>
          <w:p w:rsidR="00000000" w:rsidRDefault="00000000">
            <w:pPr>
              <w:spacing w:before="40" w:line="288" w:lineRule="auto"/>
              <w:ind w:right="170"/>
              <w:jc w:val="right"/>
              <w:rPr>
                <w:rFonts w:hint="eastAsia"/>
                <w:sz w:val="20"/>
              </w:rPr>
            </w:pPr>
            <w:r>
              <w:rPr>
                <w:rFonts w:hint="eastAsia"/>
                <w:sz w:val="20"/>
              </w:rPr>
              <w:t>7.89</w:t>
            </w:r>
          </w:p>
        </w:tc>
        <w:tc>
          <w:tcPr>
            <w:tcW w:w="1157" w:type="dxa"/>
          </w:tcPr>
          <w:p w:rsidR="00000000" w:rsidRDefault="00000000">
            <w:pPr>
              <w:spacing w:before="40" w:line="288" w:lineRule="auto"/>
              <w:jc w:val="center"/>
              <w:rPr>
                <w:rFonts w:hint="eastAsia"/>
                <w:sz w:val="20"/>
              </w:rPr>
            </w:pPr>
            <w:r>
              <w:rPr>
                <w:rFonts w:hint="eastAsia"/>
                <w:sz w:val="20"/>
              </w:rPr>
              <w:t>2.2262</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1980</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1930</w:t>
            </w:r>
          </w:p>
        </w:tc>
        <w:tc>
          <w:tcPr>
            <w:tcW w:w="1575" w:type="dxa"/>
          </w:tcPr>
          <w:p w:rsidR="00000000" w:rsidRDefault="00000000">
            <w:pPr>
              <w:spacing w:before="40" w:line="288" w:lineRule="auto"/>
              <w:ind w:right="170"/>
              <w:jc w:val="right"/>
              <w:rPr>
                <w:rFonts w:hint="eastAsia"/>
                <w:sz w:val="20"/>
              </w:rPr>
            </w:pPr>
            <w:r>
              <w:rPr>
                <w:rFonts w:hint="eastAsia"/>
                <w:sz w:val="20"/>
              </w:rPr>
              <w:t>18.91</w:t>
            </w:r>
          </w:p>
        </w:tc>
        <w:tc>
          <w:tcPr>
            <w:tcW w:w="945" w:type="dxa"/>
          </w:tcPr>
          <w:p w:rsidR="00000000" w:rsidRDefault="00000000">
            <w:pPr>
              <w:spacing w:before="40" w:line="288" w:lineRule="auto"/>
              <w:jc w:val="center"/>
              <w:rPr>
                <w:rFonts w:hint="eastAsia"/>
                <w:sz w:val="20"/>
              </w:rPr>
            </w:pPr>
            <w:r>
              <w:rPr>
                <w:rFonts w:hint="eastAsia"/>
                <w:sz w:val="20"/>
              </w:rPr>
              <w:t>178</w:t>
            </w:r>
          </w:p>
        </w:tc>
        <w:tc>
          <w:tcPr>
            <w:tcW w:w="1155" w:type="dxa"/>
          </w:tcPr>
          <w:p w:rsidR="00000000" w:rsidRDefault="00000000">
            <w:pPr>
              <w:spacing w:before="40" w:line="288" w:lineRule="auto"/>
              <w:jc w:val="center"/>
              <w:rPr>
                <w:rFonts w:hint="eastAsia"/>
                <w:sz w:val="20"/>
              </w:rPr>
            </w:pPr>
            <w:r>
              <w:rPr>
                <w:rFonts w:hint="eastAsia"/>
                <w:sz w:val="20"/>
              </w:rPr>
              <w:t>2108</w:t>
            </w:r>
          </w:p>
        </w:tc>
        <w:tc>
          <w:tcPr>
            <w:tcW w:w="1585" w:type="dxa"/>
          </w:tcPr>
          <w:p w:rsidR="00000000" w:rsidRDefault="00000000">
            <w:pPr>
              <w:spacing w:before="40" w:line="288" w:lineRule="auto"/>
              <w:ind w:right="170"/>
              <w:jc w:val="right"/>
              <w:rPr>
                <w:rFonts w:hint="eastAsia"/>
                <w:sz w:val="20"/>
              </w:rPr>
            </w:pPr>
            <w:r>
              <w:rPr>
                <w:rFonts w:hint="eastAsia"/>
                <w:sz w:val="20"/>
              </w:rPr>
              <w:t>9.57</w:t>
            </w:r>
          </w:p>
        </w:tc>
        <w:tc>
          <w:tcPr>
            <w:tcW w:w="1157" w:type="dxa"/>
          </w:tcPr>
          <w:p w:rsidR="00000000" w:rsidRDefault="00000000">
            <w:pPr>
              <w:spacing w:before="40" w:line="288" w:lineRule="auto"/>
              <w:jc w:val="center"/>
              <w:rPr>
                <w:rFonts w:hint="eastAsia"/>
                <w:sz w:val="20"/>
              </w:rPr>
            </w:pPr>
            <w:r>
              <w:rPr>
                <w:rFonts w:hint="eastAsia"/>
                <w:sz w:val="20"/>
              </w:rPr>
              <w:t>2.1742</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1981</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2066</w:t>
            </w:r>
          </w:p>
        </w:tc>
        <w:tc>
          <w:tcPr>
            <w:tcW w:w="1575" w:type="dxa"/>
          </w:tcPr>
          <w:p w:rsidR="00000000" w:rsidRDefault="00000000">
            <w:pPr>
              <w:spacing w:before="40" w:line="288" w:lineRule="auto"/>
              <w:ind w:right="170"/>
              <w:jc w:val="right"/>
              <w:rPr>
                <w:rFonts w:hint="eastAsia"/>
                <w:sz w:val="20"/>
              </w:rPr>
            </w:pPr>
            <w:r>
              <w:rPr>
                <w:rFonts w:hint="eastAsia"/>
                <w:sz w:val="20"/>
              </w:rPr>
              <w:t>28.65</w:t>
            </w:r>
          </w:p>
        </w:tc>
        <w:tc>
          <w:tcPr>
            <w:tcW w:w="945" w:type="dxa"/>
          </w:tcPr>
          <w:p w:rsidR="00000000" w:rsidRDefault="00000000">
            <w:pPr>
              <w:spacing w:before="40" w:line="288" w:lineRule="auto"/>
              <w:jc w:val="center"/>
              <w:rPr>
                <w:rFonts w:hint="eastAsia"/>
                <w:sz w:val="20"/>
              </w:rPr>
            </w:pPr>
            <w:r>
              <w:rPr>
                <w:rFonts w:hint="eastAsia"/>
                <w:sz w:val="20"/>
              </w:rPr>
              <w:t>126</w:t>
            </w:r>
          </w:p>
        </w:tc>
        <w:tc>
          <w:tcPr>
            <w:tcW w:w="1155" w:type="dxa"/>
          </w:tcPr>
          <w:p w:rsidR="00000000" w:rsidRDefault="00000000">
            <w:pPr>
              <w:spacing w:before="40" w:line="288" w:lineRule="auto"/>
              <w:jc w:val="center"/>
              <w:rPr>
                <w:rFonts w:hint="eastAsia"/>
                <w:sz w:val="20"/>
              </w:rPr>
            </w:pPr>
            <w:r>
              <w:rPr>
                <w:rFonts w:hint="eastAsia"/>
                <w:sz w:val="20"/>
              </w:rPr>
              <w:t>2192</w:t>
            </w:r>
          </w:p>
        </w:tc>
        <w:tc>
          <w:tcPr>
            <w:tcW w:w="1585" w:type="dxa"/>
          </w:tcPr>
          <w:p w:rsidR="00000000" w:rsidRDefault="00000000">
            <w:pPr>
              <w:spacing w:before="40" w:line="288" w:lineRule="auto"/>
              <w:ind w:right="170"/>
              <w:jc w:val="right"/>
              <w:rPr>
                <w:rFonts w:hint="eastAsia"/>
                <w:sz w:val="20"/>
              </w:rPr>
            </w:pPr>
            <w:r>
              <w:rPr>
                <w:rFonts w:hint="eastAsia"/>
                <w:sz w:val="20"/>
              </w:rPr>
              <w:t>13.00</w:t>
            </w:r>
          </w:p>
        </w:tc>
        <w:tc>
          <w:tcPr>
            <w:tcW w:w="1157" w:type="dxa"/>
          </w:tcPr>
          <w:p w:rsidR="00000000" w:rsidRDefault="00000000">
            <w:pPr>
              <w:spacing w:before="40" w:line="288" w:lineRule="auto"/>
              <w:jc w:val="center"/>
              <w:rPr>
                <w:rFonts w:hint="eastAsia"/>
                <w:sz w:val="20"/>
              </w:rPr>
            </w:pPr>
            <w:r>
              <w:rPr>
                <w:rFonts w:hint="eastAsia"/>
                <w:sz w:val="20"/>
              </w:rPr>
              <w:t>2.3441</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1982</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2192</w:t>
            </w:r>
          </w:p>
        </w:tc>
        <w:tc>
          <w:tcPr>
            <w:tcW w:w="1575" w:type="dxa"/>
          </w:tcPr>
          <w:p w:rsidR="00000000" w:rsidRDefault="00000000">
            <w:pPr>
              <w:spacing w:before="40" w:line="288" w:lineRule="auto"/>
              <w:ind w:right="170"/>
              <w:jc w:val="right"/>
              <w:rPr>
                <w:rFonts w:hint="eastAsia"/>
                <w:sz w:val="20"/>
              </w:rPr>
            </w:pPr>
            <w:r>
              <w:rPr>
                <w:rFonts w:hint="eastAsia"/>
                <w:sz w:val="20"/>
              </w:rPr>
              <w:t>39.23</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2194</w:t>
            </w:r>
          </w:p>
        </w:tc>
        <w:tc>
          <w:tcPr>
            <w:tcW w:w="1585" w:type="dxa"/>
          </w:tcPr>
          <w:p w:rsidR="00000000" w:rsidRDefault="00000000">
            <w:pPr>
              <w:spacing w:before="40" w:line="288" w:lineRule="auto"/>
              <w:ind w:right="170"/>
              <w:jc w:val="right"/>
              <w:rPr>
                <w:rFonts w:hint="eastAsia"/>
                <w:sz w:val="20"/>
              </w:rPr>
            </w:pPr>
            <w:r>
              <w:rPr>
                <w:rFonts w:hint="eastAsia"/>
                <w:sz w:val="20"/>
              </w:rPr>
              <w:t>16.57</w:t>
            </w:r>
          </w:p>
        </w:tc>
        <w:tc>
          <w:tcPr>
            <w:tcW w:w="1157" w:type="dxa"/>
          </w:tcPr>
          <w:p w:rsidR="00000000" w:rsidRDefault="00000000">
            <w:pPr>
              <w:spacing w:before="40" w:line="288" w:lineRule="auto"/>
              <w:jc w:val="center"/>
              <w:rPr>
                <w:rFonts w:hint="eastAsia"/>
                <w:sz w:val="20"/>
              </w:rPr>
            </w:pPr>
            <w:r>
              <w:rPr>
                <w:rFonts w:hint="eastAsia"/>
                <w:sz w:val="20"/>
              </w:rPr>
              <w:t>2.3675</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1983</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2184</w:t>
            </w:r>
          </w:p>
        </w:tc>
        <w:tc>
          <w:tcPr>
            <w:tcW w:w="1575" w:type="dxa"/>
          </w:tcPr>
          <w:p w:rsidR="00000000" w:rsidRDefault="00000000">
            <w:pPr>
              <w:spacing w:before="40" w:line="288" w:lineRule="auto"/>
              <w:ind w:right="170"/>
              <w:jc w:val="right"/>
              <w:rPr>
                <w:rFonts w:hint="eastAsia"/>
                <w:sz w:val="20"/>
              </w:rPr>
            </w:pPr>
            <w:r>
              <w:rPr>
                <w:rFonts w:hint="eastAsia"/>
                <w:sz w:val="20"/>
              </w:rPr>
              <w:t>49.25</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2184</w:t>
            </w:r>
          </w:p>
        </w:tc>
        <w:tc>
          <w:tcPr>
            <w:tcW w:w="1585" w:type="dxa"/>
          </w:tcPr>
          <w:p w:rsidR="00000000" w:rsidRDefault="00000000">
            <w:pPr>
              <w:spacing w:before="40" w:line="288" w:lineRule="auto"/>
              <w:ind w:right="170"/>
              <w:jc w:val="right"/>
              <w:rPr>
                <w:rFonts w:hint="eastAsia"/>
                <w:sz w:val="20"/>
              </w:rPr>
            </w:pPr>
            <w:r>
              <w:rPr>
                <w:rFonts w:hint="eastAsia"/>
                <w:sz w:val="20"/>
              </w:rPr>
              <w:t>20.78</w:t>
            </w:r>
          </w:p>
        </w:tc>
        <w:tc>
          <w:tcPr>
            <w:tcW w:w="1157" w:type="dxa"/>
          </w:tcPr>
          <w:p w:rsidR="00000000" w:rsidRDefault="00000000">
            <w:pPr>
              <w:spacing w:before="40" w:line="288" w:lineRule="auto"/>
              <w:jc w:val="center"/>
              <w:rPr>
                <w:rFonts w:hint="eastAsia"/>
                <w:sz w:val="20"/>
              </w:rPr>
            </w:pPr>
            <w:r>
              <w:rPr>
                <w:rFonts w:hint="eastAsia"/>
                <w:sz w:val="20"/>
              </w:rPr>
              <w:t>2.3701</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1984</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2191</w:t>
            </w:r>
          </w:p>
        </w:tc>
        <w:tc>
          <w:tcPr>
            <w:tcW w:w="1575" w:type="dxa"/>
          </w:tcPr>
          <w:p w:rsidR="00000000" w:rsidRDefault="00000000">
            <w:pPr>
              <w:spacing w:before="40" w:line="288" w:lineRule="auto"/>
              <w:ind w:right="170"/>
              <w:jc w:val="right"/>
              <w:rPr>
                <w:rFonts w:hint="eastAsia"/>
                <w:sz w:val="20"/>
              </w:rPr>
            </w:pPr>
            <w:r>
              <w:rPr>
                <w:rFonts w:hint="eastAsia"/>
                <w:sz w:val="20"/>
              </w:rPr>
              <w:t>75.96</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2191</w:t>
            </w:r>
          </w:p>
        </w:tc>
        <w:tc>
          <w:tcPr>
            <w:tcW w:w="1585" w:type="dxa"/>
          </w:tcPr>
          <w:p w:rsidR="00000000" w:rsidRDefault="00000000">
            <w:pPr>
              <w:spacing w:before="40" w:line="288" w:lineRule="auto"/>
              <w:ind w:right="170"/>
              <w:jc w:val="right"/>
              <w:rPr>
                <w:rFonts w:hint="eastAsia"/>
                <w:sz w:val="20"/>
              </w:rPr>
            </w:pPr>
            <w:r>
              <w:rPr>
                <w:rFonts w:hint="eastAsia"/>
                <w:sz w:val="20"/>
              </w:rPr>
              <w:t>29.64</w:t>
            </w:r>
          </w:p>
        </w:tc>
        <w:tc>
          <w:tcPr>
            <w:tcW w:w="1157" w:type="dxa"/>
          </w:tcPr>
          <w:p w:rsidR="00000000" w:rsidRDefault="00000000">
            <w:pPr>
              <w:spacing w:before="40" w:line="288" w:lineRule="auto"/>
              <w:jc w:val="center"/>
              <w:rPr>
                <w:rFonts w:hint="eastAsia"/>
                <w:sz w:val="20"/>
              </w:rPr>
            </w:pPr>
            <w:r>
              <w:rPr>
                <w:rFonts w:hint="eastAsia"/>
                <w:sz w:val="20"/>
              </w:rPr>
              <w:t>2.5628</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1985</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2192</w:t>
            </w:r>
          </w:p>
        </w:tc>
        <w:tc>
          <w:tcPr>
            <w:tcW w:w="1575" w:type="dxa"/>
          </w:tcPr>
          <w:p w:rsidR="00000000" w:rsidRDefault="00000000">
            <w:pPr>
              <w:spacing w:before="40" w:line="288" w:lineRule="auto"/>
              <w:ind w:right="170"/>
              <w:jc w:val="right"/>
              <w:rPr>
                <w:rFonts w:hint="eastAsia"/>
                <w:sz w:val="20"/>
              </w:rPr>
            </w:pPr>
            <w:r>
              <w:rPr>
                <w:rFonts w:hint="eastAsia"/>
                <w:sz w:val="20"/>
              </w:rPr>
              <w:t>112.11</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2192</w:t>
            </w:r>
          </w:p>
        </w:tc>
        <w:tc>
          <w:tcPr>
            <w:tcW w:w="1585" w:type="dxa"/>
          </w:tcPr>
          <w:p w:rsidR="00000000" w:rsidRDefault="00000000">
            <w:pPr>
              <w:spacing w:before="40" w:line="288" w:lineRule="auto"/>
              <w:ind w:right="170"/>
              <w:jc w:val="right"/>
              <w:rPr>
                <w:rFonts w:hint="eastAsia"/>
                <w:sz w:val="20"/>
              </w:rPr>
            </w:pPr>
            <w:r>
              <w:rPr>
                <w:rFonts w:hint="eastAsia"/>
                <w:sz w:val="20"/>
              </w:rPr>
              <w:t>52.07</w:t>
            </w:r>
          </w:p>
        </w:tc>
        <w:tc>
          <w:tcPr>
            <w:tcW w:w="1157" w:type="dxa"/>
          </w:tcPr>
          <w:p w:rsidR="00000000" w:rsidRDefault="00000000">
            <w:pPr>
              <w:spacing w:before="40" w:line="288" w:lineRule="auto"/>
              <w:jc w:val="center"/>
              <w:rPr>
                <w:rFonts w:hint="eastAsia"/>
                <w:sz w:val="20"/>
              </w:rPr>
            </w:pPr>
            <w:r>
              <w:rPr>
                <w:rFonts w:hint="eastAsia"/>
                <w:sz w:val="20"/>
              </w:rPr>
              <w:t>2.1531</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1986</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2192</w:t>
            </w:r>
          </w:p>
        </w:tc>
        <w:tc>
          <w:tcPr>
            <w:tcW w:w="1575" w:type="dxa"/>
          </w:tcPr>
          <w:p w:rsidR="00000000" w:rsidRDefault="00000000">
            <w:pPr>
              <w:spacing w:before="40" w:line="288" w:lineRule="auto"/>
              <w:ind w:right="170"/>
              <w:jc w:val="right"/>
              <w:rPr>
                <w:rFonts w:hint="eastAsia"/>
                <w:sz w:val="20"/>
              </w:rPr>
            </w:pPr>
            <w:r>
              <w:rPr>
                <w:rFonts w:hint="eastAsia"/>
                <w:sz w:val="20"/>
              </w:rPr>
              <w:t>242.76</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2192</w:t>
            </w:r>
          </w:p>
        </w:tc>
        <w:tc>
          <w:tcPr>
            <w:tcW w:w="1585" w:type="dxa"/>
          </w:tcPr>
          <w:p w:rsidR="00000000" w:rsidRDefault="00000000">
            <w:pPr>
              <w:spacing w:before="40" w:line="288" w:lineRule="auto"/>
              <w:ind w:right="170"/>
              <w:jc w:val="right"/>
              <w:rPr>
                <w:rFonts w:hint="eastAsia"/>
                <w:sz w:val="20"/>
              </w:rPr>
            </w:pPr>
            <w:r>
              <w:rPr>
                <w:rFonts w:hint="eastAsia"/>
                <w:sz w:val="20"/>
              </w:rPr>
              <w:t>109.19</w:t>
            </w:r>
          </w:p>
        </w:tc>
        <w:tc>
          <w:tcPr>
            <w:tcW w:w="1157" w:type="dxa"/>
          </w:tcPr>
          <w:p w:rsidR="00000000" w:rsidRDefault="00000000">
            <w:pPr>
              <w:spacing w:before="40" w:line="288" w:lineRule="auto"/>
              <w:jc w:val="center"/>
              <w:rPr>
                <w:rFonts w:hint="eastAsia"/>
                <w:sz w:val="20"/>
              </w:rPr>
            </w:pPr>
            <w:r>
              <w:rPr>
                <w:rFonts w:hint="eastAsia"/>
                <w:sz w:val="20"/>
              </w:rPr>
              <w:t>2.2233</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1987</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2192</w:t>
            </w:r>
          </w:p>
        </w:tc>
        <w:tc>
          <w:tcPr>
            <w:tcW w:w="1575" w:type="dxa"/>
          </w:tcPr>
          <w:p w:rsidR="00000000" w:rsidRDefault="00000000">
            <w:pPr>
              <w:spacing w:before="40" w:line="288" w:lineRule="auto"/>
              <w:ind w:right="170"/>
              <w:jc w:val="right"/>
              <w:rPr>
                <w:rFonts w:hint="eastAsia"/>
                <w:sz w:val="20"/>
              </w:rPr>
            </w:pPr>
            <w:r>
              <w:rPr>
                <w:rFonts w:hint="eastAsia"/>
                <w:sz w:val="20"/>
              </w:rPr>
              <w:t>462.67</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2192</w:t>
            </w:r>
          </w:p>
        </w:tc>
        <w:tc>
          <w:tcPr>
            <w:tcW w:w="1585" w:type="dxa"/>
          </w:tcPr>
          <w:p w:rsidR="00000000" w:rsidRDefault="00000000">
            <w:pPr>
              <w:spacing w:before="40" w:line="288" w:lineRule="auto"/>
              <w:ind w:right="170"/>
              <w:jc w:val="right"/>
              <w:rPr>
                <w:rFonts w:hint="eastAsia"/>
                <w:sz w:val="20"/>
              </w:rPr>
            </w:pPr>
            <w:r>
              <w:rPr>
                <w:rFonts w:hint="eastAsia"/>
                <w:sz w:val="20"/>
              </w:rPr>
              <w:t>224.12</w:t>
            </w:r>
          </w:p>
        </w:tc>
        <w:tc>
          <w:tcPr>
            <w:tcW w:w="1157" w:type="dxa"/>
          </w:tcPr>
          <w:p w:rsidR="00000000" w:rsidRDefault="00000000">
            <w:pPr>
              <w:spacing w:before="40" w:line="288" w:lineRule="auto"/>
              <w:jc w:val="center"/>
              <w:rPr>
                <w:rFonts w:hint="eastAsia"/>
                <w:sz w:val="20"/>
              </w:rPr>
            </w:pPr>
            <w:r>
              <w:rPr>
                <w:rFonts w:hint="eastAsia"/>
                <w:sz w:val="20"/>
              </w:rPr>
              <w:t>2.0644</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1988</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2192</w:t>
            </w:r>
          </w:p>
        </w:tc>
        <w:tc>
          <w:tcPr>
            <w:tcW w:w="1575" w:type="dxa"/>
          </w:tcPr>
          <w:p w:rsidR="00000000" w:rsidRDefault="00000000">
            <w:pPr>
              <w:spacing w:before="40" w:line="288" w:lineRule="auto"/>
              <w:ind w:right="170"/>
              <w:jc w:val="right"/>
              <w:rPr>
                <w:rFonts w:hint="eastAsia"/>
                <w:sz w:val="20"/>
              </w:rPr>
            </w:pPr>
            <w:r>
              <w:rPr>
                <w:rFonts w:hint="eastAsia"/>
                <w:sz w:val="20"/>
              </w:rPr>
              <w:t>1422.56</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2192</w:t>
            </w:r>
          </w:p>
        </w:tc>
        <w:tc>
          <w:tcPr>
            <w:tcW w:w="1585" w:type="dxa"/>
          </w:tcPr>
          <w:p w:rsidR="00000000" w:rsidRDefault="00000000">
            <w:pPr>
              <w:spacing w:before="40" w:line="288" w:lineRule="auto"/>
              <w:ind w:right="170"/>
              <w:jc w:val="right"/>
              <w:rPr>
                <w:rFonts w:hint="eastAsia"/>
                <w:sz w:val="20"/>
              </w:rPr>
            </w:pPr>
            <w:r>
              <w:rPr>
                <w:rFonts w:hint="eastAsia"/>
                <w:sz w:val="20"/>
              </w:rPr>
              <w:t>617.08</w:t>
            </w:r>
          </w:p>
        </w:tc>
        <w:tc>
          <w:tcPr>
            <w:tcW w:w="1157" w:type="dxa"/>
          </w:tcPr>
          <w:p w:rsidR="00000000" w:rsidRDefault="00000000">
            <w:pPr>
              <w:spacing w:before="40" w:line="288" w:lineRule="auto"/>
              <w:jc w:val="center"/>
              <w:rPr>
                <w:rFonts w:hint="eastAsia"/>
                <w:sz w:val="20"/>
              </w:rPr>
            </w:pPr>
            <w:r>
              <w:rPr>
                <w:rFonts w:hint="eastAsia"/>
                <w:sz w:val="20"/>
              </w:rPr>
              <w:t>2.3053</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1989</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2184</w:t>
            </w:r>
          </w:p>
        </w:tc>
        <w:tc>
          <w:tcPr>
            <w:tcW w:w="1575" w:type="dxa"/>
          </w:tcPr>
          <w:p w:rsidR="00000000" w:rsidRDefault="00000000">
            <w:pPr>
              <w:spacing w:before="40" w:line="288" w:lineRule="auto"/>
              <w:ind w:right="170"/>
              <w:jc w:val="right"/>
              <w:rPr>
                <w:rFonts w:hint="eastAsia"/>
                <w:sz w:val="20"/>
              </w:rPr>
            </w:pPr>
            <w:r>
              <w:rPr>
                <w:rFonts w:hint="eastAsia"/>
                <w:sz w:val="20"/>
              </w:rPr>
              <w:t>22905.27</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2184</w:t>
            </w:r>
          </w:p>
        </w:tc>
        <w:tc>
          <w:tcPr>
            <w:tcW w:w="1585" w:type="dxa"/>
          </w:tcPr>
          <w:p w:rsidR="00000000" w:rsidRDefault="00000000">
            <w:pPr>
              <w:spacing w:before="40" w:line="288" w:lineRule="auto"/>
              <w:ind w:right="170"/>
              <w:jc w:val="right"/>
              <w:rPr>
                <w:rFonts w:hint="eastAsia"/>
                <w:sz w:val="20"/>
              </w:rPr>
            </w:pPr>
            <w:r>
              <w:rPr>
                <w:rFonts w:hint="eastAsia"/>
                <w:sz w:val="20"/>
              </w:rPr>
              <w:t>9871.20</w:t>
            </w:r>
          </w:p>
        </w:tc>
        <w:tc>
          <w:tcPr>
            <w:tcW w:w="1157" w:type="dxa"/>
          </w:tcPr>
          <w:p w:rsidR="00000000" w:rsidRDefault="00000000">
            <w:pPr>
              <w:spacing w:before="40" w:line="288" w:lineRule="auto"/>
              <w:jc w:val="center"/>
              <w:rPr>
                <w:rFonts w:hint="eastAsia"/>
                <w:sz w:val="20"/>
              </w:rPr>
            </w:pPr>
            <w:r>
              <w:rPr>
                <w:rFonts w:hint="eastAsia"/>
                <w:sz w:val="20"/>
              </w:rPr>
              <w:t>2.3203</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1990</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2034</w:t>
            </w:r>
          </w:p>
        </w:tc>
        <w:tc>
          <w:tcPr>
            <w:tcW w:w="1575" w:type="dxa"/>
          </w:tcPr>
          <w:p w:rsidR="00000000" w:rsidRDefault="00000000">
            <w:pPr>
              <w:spacing w:before="40" w:line="288" w:lineRule="auto"/>
              <w:ind w:right="170"/>
              <w:jc w:val="right"/>
              <w:rPr>
                <w:rFonts w:hint="eastAsia"/>
                <w:sz w:val="20"/>
              </w:rPr>
            </w:pPr>
            <w:r>
              <w:rPr>
                <w:rFonts w:hint="eastAsia"/>
                <w:sz w:val="20"/>
              </w:rPr>
              <w:t>101906.90</w:t>
            </w:r>
          </w:p>
        </w:tc>
        <w:tc>
          <w:tcPr>
            <w:tcW w:w="945" w:type="dxa"/>
          </w:tcPr>
          <w:p w:rsidR="00000000" w:rsidRDefault="00000000">
            <w:pPr>
              <w:spacing w:before="40" w:line="288" w:lineRule="auto"/>
              <w:jc w:val="center"/>
              <w:rPr>
                <w:rFonts w:hint="eastAsia"/>
                <w:sz w:val="20"/>
              </w:rPr>
            </w:pPr>
            <w:r>
              <w:rPr>
                <w:rFonts w:hint="eastAsia"/>
                <w:sz w:val="20"/>
              </w:rPr>
              <w:t>160</w:t>
            </w:r>
          </w:p>
        </w:tc>
        <w:tc>
          <w:tcPr>
            <w:tcW w:w="1155" w:type="dxa"/>
          </w:tcPr>
          <w:p w:rsidR="00000000" w:rsidRDefault="00000000">
            <w:pPr>
              <w:spacing w:before="40" w:line="288" w:lineRule="auto"/>
              <w:jc w:val="center"/>
              <w:rPr>
                <w:rFonts w:hint="eastAsia"/>
                <w:sz w:val="20"/>
              </w:rPr>
            </w:pPr>
            <w:r>
              <w:rPr>
                <w:rFonts w:hint="eastAsia"/>
                <w:sz w:val="20"/>
              </w:rPr>
              <w:t>2194</w:t>
            </w:r>
          </w:p>
        </w:tc>
        <w:tc>
          <w:tcPr>
            <w:tcW w:w="1585" w:type="dxa"/>
          </w:tcPr>
          <w:p w:rsidR="00000000" w:rsidRDefault="00000000">
            <w:pPr>
              <w:spacing w:before="40" w:line="288" w:lineRule="auto"/>
              <w:ind w:right="170"/>
              <w:jc w:val="right"/>
              <w:rPr>
                <w:rFonts w:hint="eastAsia"/>
                <w:sz w:val="20"/>
              </w:rPr>
            </w:pPr>
            <w:r>
              <w:rPr>
                <w:rFonts w:hint="eastAsia"/>
                <w:sz w:val="20"/>
              </w:rPr>
              <w:t>57432.00</w:t>
            </w:r>
          </w:p>
        </w:tc>
        <w:tc>
          <w:tcPr>
            <w:tcW w:w="1157" w:type="dxa"/>
          </w:tcPr>
          <w:p w:rsidR="00000000" w:rsidRDefault="00000000">
            <w:pPr>
              <w:spacing w:before="40" w:line="288" w:lineRule="auto"/>
              <w:jc w:val="center"/>
              <w:rPr>
                <w:rFonts w:hint="eastAsia"/>
                <w:sz w:val="20"/>
              </w:rPr>
            </w:pPr>
            <w:r>
              <w:rPr>
                <w:rFonts w:hint="eastAsia"/>
                <w:sz w:val="20"/>
              </w:rPr>
              <w:t>1.9525</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1991</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2192</w:t>
            </w:r>
          </w:p>
        </w:tc>
        <w:tc>
          <w:tcPr>
            <w:tcW w:w="1575" w:type="dxa"/>
          </w:tcPr>
          <w:p w:rsidR="00000000" w:rsidRDefault="00000000">
            <w:pPr>
              <w:spacing w:before="40" w:line="288" w:lineRule="auto"/>
              <w:ind w:right="170"/>
              <w:jc w:val="right"/>
              <w:rPr>
                <w:rFonts w:hint="eastAsia"/>
                <w:sz w:val="20"/>
              </w:rPr>
            </w:pPr>
            <w:r>
              <w:rPr>
                <w:rFonts w:hint="eastAsia"/>
                <w:sz w:val="20"/>
              </w:rPr>
              <w:t>283494.80</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2192</w:t>
            </w:r>
          </w:p>
        </w:tc>
        <w:tc>
          <w:tcPr>
            <w:tcW w:w="1585" w:type="dxa"/>
          </w:tcPr>
          <w:p w:rsidR="00000000" w:rsidRDefault="00000000">
            <w:pPr>
              <w:spacing w:before="40" w:line="288" w:lineRule="auto"/>
              <w:ind w:right="170"/>
              <w:jc w:val="right"/>
              <w:rPr>
                <w:rFonts w:hint="eastAsia"/>
                <w:sz w:val="20"/>
              </w:rPr>
            </w:pPr>
            <w:r>
              <w:rPr>
                <w:rFonts w:hint="eastAsia"/>
                <w:sz w:val="20"/>
              </w:rPr>
              <w:t>96540.00</w:t>
            </w:r>
          </w:p>
        </w:tc>
        <w:tc>
          <w:tcPr>
            <w:tcW w:w="1157" w:type="dxa"/>
          </w:tcPr>
          <w:p w:rsidR="00000000" w:rsidRDefault="00000000">
            <w:pPr>
              <w:spacing w:before="40" w:line="288" w:lineRule="auto"/>
              <w:jc w:val="center"/>
              <w:rPr>
                <w:rFonts w:hint="eastAsia"/>
                <w:sz w:val="20"/>
              </w:rPr>
            </w:pPr>
            <w:r>
              <w:rPr>
                <w:rFonts w:hint="eastAsia"/>
                <w:sz w:val="20"/>
              </w:rPr>
              <w:t>2.9366</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1992</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2201</w:t>
            </w:r>
          </w:p>
        </w:tc>
        <w:tc>
          <w:tcPr>
            <w:tcW w:w="1575" w:type="dxa"/>
          </w:tcPr>
          <w:p w:rsidR="00000000" w:rsidRDefault="00000000">
            <w:pPr>
              <w:spacing w:before="40" w:line="288" w:lineRule="auto"/>
              <w:ind w:right="170"/>
              <w:jc w:val="right"/>
              <w:rPr>
                <w:rFonts w:hint="eastAsia"/>
                <w:sz w:val="20"/>
              </w:rPr>
            </w:pPr>
            <w:r>
              <w:rPr>
                <w:rFonts w:hint="eastAsia"/>
                <w:sz w:val="20"/>
              </w:rPr>
              <w:t>1114794.00</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2201</w:t>
            </w:r>
          </w:p>
        </w:tc>
        <w:tc>
          <w:tcPr>
            <w:tcW w:w="1585" w:type="dxa"/>
          </w:tcPr>
          <w:p w:rsidR="00000000" w:rsidRDefault="00000000">
            <w:pPr>
              <w:spacing w:before="40" w:line="288" w:lineRule="auto"/>
              <w:ind w:right="170"/>
              <w:jc w:val="right"/>
              <w:rPr>
                <w:rFonts w:hint="eastAsia"/>
                <w:sz w:val="20"/>
              </w:rPr>
            </w:pPr>
            <w:r>
              <w:rPr>
                <w:rFonts w:hint="eastAsia"/>
                <w:sz w:val="20"/>
              </w:rPr>
              <w:t>400080.00</w:t>
            </w:r>
          </w:p>
        </w:tc>
        <w:tc>
          <w:tcPr>
            <w:tcW w:w="1157" w:type="dxa"/>
          </w:tcPr>
          <w:p w:rsidR="00000000" w:rsidRDefault="00000000">
            <w:pPr>
              <w:spacing w:before="40" w:line="288" w:lineRule="auto"/>
              <w:jc w:val="center"/>
              <w:rPr>
                <w:rFonts w:hint="eastAsia"/>
                <w:sz w:val="20"/>
              </w:rPr>
            </w:pPr>
            <w:r>
              <w:rPr>
                <w:rFonts w:hint="eastAsia"/>
                <w:sz w:val="20"/>
              </w:rPr>
              <w:t>2.7864</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1993</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2192</w:t>
            </w:r>
          </w:p>
        </w:tc>
        <w:tc>
          <w:tcPr>
            <w:tcW w:w="1575" w:type="dxa"/>
          </w:tcPr>
          <w:p w:rsidR="00000000" w:rsidRDefault="00000000">
            <w:pPr>
              <w:spacing w:before="40" w:line="288" w:lineRule="auto"/>
              <w:ind w:right="170"/>
              <w:jc w:val="right"/>
              <w:rPr>
                <w:rFonts w:hint="eastAsia"/>
                <w:sz w:val="20"/>
              </w:rPr>
            </w:pPr>
            <w:r>
              <w:rPr>
                <w:rFonts w:hint="eastAsia"/>
                <w:sz w:val="20"/>
              </w:rPr>
              <w:t>18452587.00</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2192</w:t>
            </w:r>
          </w:p>
        </w:tc>
        <w:tc>
          <w:tcPr>
            <w:tcW w:w="1585" w:type="dxa"/>
          </w:tcPr>
          <w:p w:rsidR="00000000" w:rsidRDefault="00000000">
            <w:pPr>
              <w:spacing w:before="40" w:line="288" w:lineRule="auto"/>
              <w:ind w:right="170"/>
              <w:jc w:val="right"/>
              <w:rPr>
                <w:rFonts w:hint="eastAsia"/>
                <w:sz w:val="20"/>
              </w:rPr>
            </w:pPr>
            <w:r>
              <w:rPr>
                <w:rFonts w:hint="eastAsia"/>
                <w:sz w:val="20"/>
              </w:rPr>
              <w:t>63163260.00</w:t>
            </w:r>
          </w:p>
        </w:tc>
        <w:tc>
          <w:tcPr>
            <w:tcW w:w="1157" w:type="dxa"/>
          </w:tcPr>
          <w:p w:rsidR="00000000" w:rsidRDefault="00000000">
            <w:pPr>
              <w:spacing w:before="40" w:line="288" w:lineRule="auto"/>
              <w:jc w:val="center"/>
              <w:rPr>
                <w:rFonts w:hint="eastAsia"/>
                <w:sz w:val="20"/>
              </w:rPr>
            </w:pPr>
            <w:r>
              <w:rPr>
                <w:rFonts w:hint="eastAsia"/>
                <w:sz w:val="20"/>
              </w:rPr>
              <w:t>2.9214</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1994</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2191</w:t>
            </w:r>
          </w:p>
        </w:tc>
        <w:tc>
          <w:tcPr>
            <w:tcW w:w="1575" w:type="dxa"/>
          </w:tcPr>
          <w:p w:rsidR="00000000" w:rsidRDefault="00000000">
            <w:pPr>
              <w:spacing w:before="40" w:line="288" w:lineRule="auto"/>
              <w:ind w:right="170"/>
              <w:jc w:val="right"/>
              <w:rPr>
                <w:rFonts w:hint="eastAsia"/>
                <w:sz w:val="20"/>
              </w:rPr>
            </w:pPr>
            <w:r>
              <w:rPr>
                <w:rFonts w:hint="eastAsia"/>
                <w:sz w:val="20"/>
              </w:rPr>
              <w:t>32674.60</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2191</w:t>
            </w:r>
          </w:p>
        </w:tc>
        <w:tc>
          <w:tcPr>
            <w:tcW w:w="1585" w:type="dxa"/>
          </w:tcPr>
          <w:p w:rsidR="00000000" w:rsidRDefault="00000000">
            <w:pPr>
              <w:spacing w:before="40" w:line="288" w:lineRule="auto"/>
              <w:ind w:right="170"/>
              <w:jc w:val="right"/>
              <w:rPr>
                <w:rFonts w:hint="eastAsia"/>
                <w:sz w:val="20"/>
              </w:rPr>
            </w:pPr>
            <w:r>
              <w:rPr>
                <w:rFonts w:hint="eastAsia"/>
                <w:sz w:val="20"/>
              </w:rPr>
              <w:t>14964.00</w:t>
            </w:r>
          </w:p>
        </w:tc>
        <w:tc>
          <w:tcPr>
            <w:tcW w:w="1157" w:type="dxa"/>
          </w:tcPr>
          <w:p w:rsidR="00000000" w:rsidRDefault="00000000">
            <w:pPr>
              <w:spacing w:before="40" w:line="288" w:lineRule="auto"/>
              <w:jc w:val="center"/>
              <w:rPr>
                <w:rFonts w:hint="eastAsia"/>
                <w:sz w:val="20"/>
              </w:rPr>
            </w:pPr>
            <w:r>
              <w:rPr>
                <w:rFonts w:hint="eastAsia"/>
                <w:sz w:val="20"/>
              </w:rPr>
              <w:t>2.1835</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1995</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2184</w:t>
            </w:r>
          </w:p>
        </w:tc>
        <w:tc>
          <w:tcPr>
            <w:tcW w:w="1575" w:type="dxa"/>
          </w:tcPr>
          <w:p w:rsidR="00000000" w:rsidRDefault="00000000">
            <w:pPr>
              <w:spacing w:before="40" w:line="288" w:lineRule="auto"/>
              <w:ind w:right="170"/>
              <w:jc w:val="right"/>
              <w:rPr>
                <w:rFonts w:hint="eastAsia"/>
                <w:sz w:val="20"/>
              </w:rPr>
            </w:pPr>
            <w:r>
              <w:rPr>
                <w:rFonts w:hint="eastAsia"/>
                <w:sz w:val="20"/>
              </w:rPr>
              <w:t>41161.37</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2184</w:t>
            </w:r>
          </w:p>
        </w:tc>
        <w:tc>
          <w:tcPr>
            <w:tcW w:w="1585" w:type="dxa"/>
          </w:tcPr>
          <w:p w:rsidR="00000000" w:rsidRDefault="00000000">
            <w:pPr>
              <w:spacing w:before="40" w:line="288" w:lineRule="auto"/>
              <w:ind w:right="170"/>
              <w:jc w:val="right"/>
              <w:rPr>
                <w:rFonts w:hint="eastAsia"/>
                <w:sz w:val="20"/>
              </w:rPr>
            </w:pPr>
            <w:r>
              <w:rPr>
                <w:rFonts w:hint="eastAsia"/>
                <w:sz w:val="20"/>
              </w:rPr>
              <w:t>21816.00</w:t>
            </w:r>
          </w:p>
        </w:tc>
        <w:tc>
          <w:tcPr>
            <w:tcW w:w="1157" w:type="dxa"/>
          </w:tcPr>
          <w:p w:rsidR="00000000" w:rsidRDefault="00000000">
            <w:pPr>
              <w:spacing w:before="40" w:line="288" w:lineRule="auto"/>
              <w:jc w:val="center"/>
              <w:rPr>
                <w:rFonts w:hint="eastAsia"/>
                <w:sz w:val="20"/>
              </w:rPr>
            </w:pPr>
            <w:r>
              <w:rPr>
                <w:rFonts w:hint="eastAsia"/>
                <w:sz w:val="20"/>
              </w:rPr>
              <w:t>1.8868</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1996</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2133</w:t>
            </w:r>
          </w:p>
        </w:tc>
        <w:tc>
          <w:tcPr>
            <w:tcW w:w="1575" w:type="dxa"/>
          </w:tcPr>
          <w:p w:rsidR="00000000" w:rsidRDefault="00000000">
            <w:pPr>
              <w:spacing w:before="40" w:line="288" w:lineRule="auto"/>
              <w:ind w:right="170"/>
              <w:jc w:val="right"/>
              <w:rPr>
                <w:rFonts w:hint="eastAsia"/>
                <w:sz w:val="20"/>
              </w:rPr>
            </w:pPr>
            <w:r>
              <w:rPr>
                <w:rFonts w:hint="eastAsia"/>
                <w:sz w:val="20"/>
              </w:rPr>
              <w:t>88588.51</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2133</w:t>
            </w:r>
          </w:p>
        </w:tc>
        <w:tc>
          <w:tcPr>
            <w:tcW w:w="1585" w:type="dxa"/>
          </w:tcPr>
          <w:p w:rsidR="00000000" w:rsidRDefault="00000000">
            <w:pPr>
              <w:spacing w:before="40" w:line="288" w:lineRule="auto"/>
              <w:ind w:right="170"/>
              <w:jc w:val="right"/>
              <w:rPr>
                <w:rFonts w:hint="eastAsia"/>
                <w:sz w:val="20"/>
              </w:rPr>
            </w:pPr>
            <w:r>
              <w:rPr>
                <w:rFonts w:hint="eastAsia"/>
                <w:sz w:val="20"/>
              </w:rPr>
              <w:t>38916.00</w:t>
            </w:r>
          </w:p>
        </w:tc>
        <w:tc>
          <w:tcPr>
            <w:tcW w:w="1157" w:type="dxa"/>
          </w:tcPr>
          <w:p w:rsidR="00000000" w:rsidRDefault="00000000">
            <w:pPr>
              <w:spacing w:before="40" w:line="288" w:lineRule="auto"/>
              <w:jc w:val="center"/>
              <w:rPr>
                <w:rFonts w:hint="eastAsia"/>
                <w:sz w:val="20"/>
              </w:rPr>
            </w:pPr>
            <w:r>
              <w:rPr>
                <w:rFonts w:hint="eastAsia"/>
                <w:sz w:val="20"/>
              </w:rPr>
              <w:t>2.2764</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1997</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2191</w:t>
            </w:r>
          </w:p>
        </w:tc>
        <w:tc>
          <w:tcPr>
            <w:tcW w:w="1575" w:type="dxa"/>
          </w:tcPr>
          <w:p w:rsidR="00000000" w:rsidRDefault="00000000">
            <w:pPr>
              <w:spacing w:before="40" w:line="288" w:lineRule="auto"/>
              <w:ind w:right="170"/>
              <w:jc w:val="right"/>
              <w:rPr>
                <w:rFonts w:hint="eastAsia"/>
                <w:sz w:val="20"/>
              </w:rPr>
            </w:pPr>
            <w:r>
              <w:rPr>
                <w:rFonts w:hint="eastAsia"/>
                <w:sz w:val="20"/>
              </w:rPr>
              <w:t>98684.06</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2191</w:t>
            </w:r>
          </w:p>
        </w:tc>
        <w:tc>
          <w:tcPr>
            <w:tcW w:w="1585" w:type="dxa"/>
          </w:tcPr>
          <w:p w:rsidR="00000000" w:rsidRDefault="00000000">
            <w:pPr>
              <w:spacing w:before="40" w:line="288" w:lineRule="auto"/>
              <w:ind w:right="170"/>
              <w:jc w:val="right"/>
              <w:rPr>
                <w:rFonts w:hint="eastAsia"/>
                <w:sz w:val="20"/>
              </w:rPr>
            </w:pPr>
            <w:r>
              <w:rPr>
                <w:rFonts w:hint="eastAsia"/>
                <w:sz w:val="20"/>
              </w:rPr>
              <w:t>44016.00</w:t>
            </w:r>
          </w:p>
        </w:tc>
        <w:tc>
          <w:tcPr>
            <w:tcW w:w="1157" w:type="dxa"/>
          </w:tcPr>
          <w:p w:rsidR="00000000" w:rsidRDefault="00000000">
            <w:pPr>
              <w:spacing w:before="40" w:line="288" w:lineRule="auto"/>
              <w:jc w:val="center"/>
              <w:rPr>
                <w:rFonts w:hint="eastAsia"/>
                <w:sz w:val="20"/>
              </w:rPr>
            </w:pPr>
            <w:r>
              <w:rPr>
                <w:rFonts w:hint="eastAsia"/>
                <w:sz w:val="20"/>
              </w:rPr>
              <w:t>2.2420</w:t>
            </w:r>
          </w:p>
        </w:tc>
      </w:tr>
      <w:tr w:rsidR="00000000">
        <w:tblPrEx>
          <w:tblCellMar>
            <w:top w:w="0" w:type="dxa"/>
            <w:bottom w:w="0" w:type="dxa"/>
          </w:tblCellMar>
        </w:tblPrEx>
        <w:tc>
          <w:tcPr>
            <w:tcW w:w="1137" w:type="dxa"/>
          </w:tcPr>
          <w:p w:rsidR="00000000" w:rsidRDefault="00000000">
            <w:pPr>
              <w:spacing w:before="40" w:line="288" w:lineRule="auto"/>
              <w:jc w:val="center"/>
              <w:rPr>
                <w:rFonts w:hint="eastAsia"/>
                <w:sz w:val="20"/>
              </w:rPr>
            </w:pPr>
            <w:r>
              <w:rPr>
                <w:rFonts w:hint="eastAsia"/>
                <w:sz w:val="20"/>
              </w:rPr>
              <w:t>1998</w:t>
            </w:r>
          </w:p>
        </w:tc>
        <w:tc>
          <w:tcPr>
            <w:tcW w:w="966" w:type="dxa"/>
          </w:tcPr>
          <w:p w:rsidR="00000000" w:rsidRDefault="00000000">
            <w:pPr>
              <w:spacing w:before="40" w:line="288" w:lineRule="auto"/>
              <w:jc w:val="center"/>
              <w:rPr>
                <w:rFonts w:hint="eastAsia"/>
                <w:sz w:val="20"/>
              </w:rPr>
            </w:pPr>
            <w:r>
              <w:rPr>
                <w:rFonts w:hint="eastAsia"/>
                <w:sz w:val="20"/>
              </w:rPr>
              <w:t>12</w:t>
            </w:r>
          </w:p>
        </w:tc>
        <w:tc>
          <w:tcPr>
            <w:tcW w:w="1050" w:type="dxa"/>
          </w:tcPr>
          <w:p w:rsidR="00000000" w:rsidRDefault="00000000">
            <w:pPr>
              <w:spacing w:before="40" w:line="288" w:lineRule="auto"/>
              <w:jc w:val="center"/>
              <w:rPr>
                <w:rFonts w:hint="eastAsia"/>
                <w:sz w:val="20"/>
              </w:rPr>
            </w:pPr>
            <w:r>
              <w:rPr>
                <w:rFonts w:hint="eastAsia"/>
                <w:sz w:val="20"/>
              </w:rPr>
              <w:t>2191</w:t>
            </w:r>
          </w:p>
        </w:tc>
        <w:tc>
          <w:tcPr>
            <w:tcW w:w="1575" w:type="dxa"/>
          </w:tcPr>
          <w:p w:rsidR="00000000" w:rsidRDefault="00000000">
            <w:pPr>
              <w:spacing w:before="40" w:line="288" w:lineRule="auto"/>
              <w:ind w:right="170"/>
              <w:jc w:val="right"/>
              <w:rPr>
                <w:rFonts w:hint="eastAsia"/>
                <w:sz w:val="20"/>
              </w:rPr>
            </w:pPr>
            <w:r>
              <w:rPr>
                <w:rFonts w:hint="eastAsia"/>
                <w:sz w:val="20"/>
              </w:rPr>
              <w:t>102667.37</w:t>
            </w:r>
          </w:p>
        </w:tc>
        <w:tc>
          <w:tcPr>
            <w:tcW w:w="945" w:type="dxa"/>
          </w:tcPr>
          <w:p w:rsidR="00000000" w:rsidRDefault="00000000">
            <w:pPr>
              <w:spacing w:before="40" w:line="288" w:lineRule="auto"/>
              <w:jc w:val="center"/>
              <w:rPr>
                <w:rFonts w:hint="eastAsia"/>
                <w:sz w:val="20"/>
              </w:rPr>
            </w:pPr>
          </w:p>
        </w:tc>
        <w:tc>
          <w:tcPr>
            <w:tcW w:w="1155" w:type="dxa"/>
          </w:tcPr>
          <w:p w:rsidR="00000000" w:rsidRDefault="00000000">
            <w:pPr>
              <w:spacing w:before="40" w:line="288" w:lineRule="auto"/>
              <w:jc w:val="center"/>
              <w:rPr>
                <w:rFonts w:hint="eastAsia"/>
                <w:sz w:val="20"/>
              </w:rPr>
            </w:pPr>
            <w:r>
              <w:rPr>
                <w:rFonts w:hint="eastAsia"/>
                <w:sz w:val="20"/>
              </w:rPr>
              <w:t>2191</w:t>
            </w:r>
          </w:p>
        </w:tc>
        <w:tc>
          <w:tcPr>
            <w:tcW w:w="1585" w:type="dxa"/>
          </w:tcPr>
          <w:p w:rsidR="00000000" w:rsidRDefault="00000000">
            <w:pPr>
              <w:spacing w:before="40" w:line="288" w:lineRule="auto"/>
              <w:ind w:right="170"/>
              <w:jc w:val="right"/>
              <w:rPr>
                <w:rFonts w:hint="eastAsia"/>
                <w:sz w:val="20"/>
              </w:rPr>
            </w:pPr>
            <w:r>
              <w:rPr>
                <w:rFonts w:hint="eastAsia"/>
                <w:sz w:val="20"/>
              </w:rPr>
              <w:t>49572.00</w:t>
            </w:r>
          </w:p>
        </w:tc>
        <w:tc>
          <w:tcPr>
            <w:tcW w:w="1157" w:type="dxa"/>
          </w:tcPr>
          <w:p w:rsidR="00000000" w:rsidRDefault="00000000">
            <w:pPr>
              <w:spacing w:before="40" w:line="288" w:lineRule="auto"/>
              <w:jc w:val="center"/>
              <w:rPr>
                <w:rFonts w:hint="eastAsia"/>
                <w:sz w:val="20"/>
              </w:rPr>
            </w:pPr>
            <w:r>
              <w:rPr>
                <w:rFonts w:hint="eastAsia"/>
                <w:sz w:val="20"/>
              </w:rPr>
              <w:t>2.0711</w:t>
            </w:r>
          </w:p>
        </w:tc>
      </w:tr>
    </w:tbl>
    <w:p w:rsidR="00000000" w:rsidRDefault="00000000">
      <w:pPr>
        <w:spacing w:before="240" w:after="240"/>
        <w:jc w:val="right"/>
        <w:rPr>
          <w:rFonts w:hint="eastAsia"/>
          <w:sz w:val="22"/>
        </w:rPr>
      </w:pPr>
      <w:r>
        <w:rPr>
          <w:rFonts w:hint="eastAsia"/>
          <w:sz w:val="22"/>
        </w:rPr>
        <w:t>价值分数总额</w:t>
      </w:r>
      <w:r>
        <w:rPr>
          <w:rFonts w:hint="eastAsia"/>
          <w:sz w:val="22"/>
        </w:rPr>
        <w:t xml:space="preserve"> = 71.922</w:t>
      </w:r>
    </w:p>
    <w:p w:rsidR="00000000" w:rsidRDefault="00000000">
      <w:pPr>
        <w:spacing w:after="240"/>
        <w:rPr>
          <w:rFonts w:hint="eastAsia"/>
        </w:rPr>
      </w:pPr>
      <w:r>
        <w:rPr>
          <w:rFonts w:hint="eastAsia"/>
        </w:rPr>
        <w:tab/>
      </w:r>
      <w:r>
        <w:rPr>
          <w:rFonts w:hint="eastAsia"/>
        </w:rPr>
        <w:t>虽然有关的被保险人从</w:t>
      </w:r>
      <w:r>
        <w:rPr>
          <w:rFonts w:hint="eastAsia"/>
        </w:rPr>
        <w:t>1957</w:t>
      </w:r>
      <w:r>
        <w:rPr>
          <w:rFonts w:hint="eastAsia"/>
        </w:rPr>
        <w:t>年至</w:t>
      </w:r>
      <w:r>
        <w:rPr>
          <w:rFonts w:hint="eastAsia"/>
        </w:rPr>
        <w:t>1998</w:t>
      </w:r>
      <w:r>
        <w:rPr>
          <w:rFonts w:hint="eastAsia"/>
        </w:rPr>
        <w:t>年完成了</w:t>
      </w:r>
      <w:r>
        <w:rPr>
          <w:rFonts w:hint="eastAsia"/>
        </w:rPr>
        <w:t>40</w:t>
      </w:r>
      <w:r>
        <w:rPr>
          <w:rFonts w:hint="eastAsia"/>
        </w:rPr>
        <w:t>年</w:t>
      </w:r>
      <w:r>
        <w:rPr>
          <w:rFonts w:hint="eastAsia"/>
        </w:rPr>
        <w:t>2</w:t>
      </w:r>
      <w:r>
        <w:rPr>
          <w:rFonts w:hint="eastAsia"/>
        </w:rPr>
        <w:t>个月</w:t>
      </w:r>
      <w:r>
        <w:rPr>
          <w:rFonts w:hint="eastAsia"/>
        </w:rPr>
        <w:t>17</w:t>
      </w:r>
      <w:r>
        <w:rPr>
          <w:rFonts w:hint="eastAsia"/>
        </w:rPr>
        <w:t>天的合格期，但考虑的收入期是</w:t>
      </w:r>
      <w:r>
        <w:rPr>
          <w:rFonts w:hint="eastAsia"/>
        </w:rPr>
        <w:t>29</w:t>
      </w:r>
      <w:r>
        <w:rPr>
          <w:rFonts w:hint="eastAsia"/>
        </w:rPr>
        <w:t>年</w:t>
      </w:r>
      <w:r>
        <w:rPr>
          <w:rFonts w:hint="eastAsia"/>
          <w:spacing w:val="-40"/>
          <w:sz w:val="22"/>
        </w:rPr>
        <w:t>——</w:t>
      </w:r>
      <w:r>
        <w:rPr>
          <w:sz w:val="22"/>
        </w:rPr>
        <w:t xml:space="preserve"> </w:t>
      </w:r>
      <w:r>
        <w:rPr>
          <w:rFonts w:hint="eastAsia"/>
        </w:rPr>
        <w:t>从</w:t>
      </w:r>
      <w:r>
        <w:rPr>
          <w:rFonts w:hint="eastAsia"/>
        </w:rPr>
        <w:t>1970</w:t>
      </w:r>
      <w:r>
        <w:rPr>
          <w:rFonts w:hint="eastAsia"/>
        </w:rPr>
        <w:t>年至</w:t>
      </w:r>
      <w:r>
        <w:rPr>
          <w:rFonts w:hint="eastAsia"/>
        </w:rPr>
        <w:t>1998</w:t>
      </w:r>
      <w:r>
        <w:rPr>
          <w:rFonts w:hint="eastAsia"/>
        </w:rPr>
        <w:t>年。每保险年的平均价值分数如下：</w:t>
      </w:r>
    </w:p>
    <w:p w:rsidR="00000000" w:rsidRDefault="00000000">
      <w:pPr>
        <w:spacing w:line="192" w:lineRule="auto"/>
        <w:rPr>
          <w:rFonts w:hint="eastAsia"/>
        </w:rPr>
      </w:pPr>
      <w:r>
        <w:rPr>
          <w:rFonts w:hint="eastAsia"/>
        </w:rPr>
        <w:tab/>
      </w:r>
      <w:r>
        <w:rPr>
          <w:rFonts w:hint="eastAsia"/>
        </w:rPr>
        <w:tab/>
      </w:r>
      <w:r>
        <w:rPr>
          <w:rFonts w:hint="eastAsia"/>
        </w:rPr>
        <w:tab/>
      </w:r>
      <w:r>
        <w:rPr>
          <w:rFonts w:hint="eastAsia"/>
        </w:rPr>
        <w:tab/>
        <w:t xml:space="preserve"> </w:t>
      </w:r>
      <w:r>
        <w:rPr>
          <w:rFonts w:hint="eastAsia"/>
        </w:rPr>
        <w:t>价值分数总额</w:t>
      </w:r>
      <w:r>
        <w:rPr>
          <w:rFonts w:hint="eastAsia"/>
        </w:rPr>
        <w:tab/>
      </w:r>
      <w:r>
        <w:rPr>
          <w:rFonts w:hint="eastAsia"/>
        </w:rPr>
        <w:tab/>
        <w:t>71.922</w:t>
      </w:r>
      <w:r>
        <w:rPr>
          <w:rFonts w:hint="eastAsia"/>
        </w:rPr>
        <w:tab/>
      </w:r>
    </w:p>
    <w:p w:rsidR="00000000" w:rsidRDefault="00000000">
      <w:pPr>
        <w:spacing w:line="192" w:lineRule="auto"/>
        <w:rPr>
          <w:rFonts w:hint="eastAsia"/>
        </w:rPr>
      </w:pPr>
      <w:r>
        <w:rPr>
          <w:rFonts w:hint="eastAsia"/>
        </w:rPr>
        <w:t>平均价值分数</w:t>
      </w:r>
      <w:r>
        <w:rPr>
          <w:rFonts w:hint="eastAsia"/>
        </w:rPr>
        <w:t xml:space="preserve"> =</w:t>
      </w:r>
      <w:r>
        <w:rPr>
          <w:rFonts w:hint="eastAsia"/>
        </w:rPr>
        <w:tab/>
        <w:t xml:space="preserve"> </w:t>
      </w:r>
      <w:r>
        <w:rPr>
          <w:rFonts w:hint="eastAsia"/>
          <w:u w:val="single"/>
        </w:rPr>
        <w:tab/>
      </w:r>
      <w:r>
        <w:rPr>
          <w:rFonts w:hint="eastAsia"/>
          <w:u w:val="single"/>
        </w:rPr>
        <w:tab/>
      </w:r>
      <w:r>
        <w:rPr>
          <w:rFonts w:hint="eastAsia"/>
          <w:u w:val="single"/>
        </w:rPr>
        <w:tab/>
      </w:r>
      <w:r>
        <w:rPr>
          <w:rFonts w:hint="eastAsia"/>
        </w:rPr>
        <w:tab/>
        <w:t>=</w:t>
      </w:r>
      <w:r>
        <w:t xml:space="preserve"> </w:t>
      </w:r>
      <w:r>
        <w:rPr>
          <w:rFonts w:hint="eastAsia"/>
          <w:u w:val="single"/>
        </w:rPr>
        <w:tab/>
        <w:t xml:space="preserve">  </w:t>
      </w:r>
      <w:r>
        <w:rPr>
          <w:rFonts w:hint="eastAsia"/>
          <w:u w:val="single"/>
        </w:rPr>
        <w:tab/>
      </w:r>
      <w:r>
        <w:rPr>
          <w:rFonts w:hint="eastAsia"/>
          <w:u w:val="single"/>
        </w:rPr>
        <w:tab/>
        <w:t xml:space="preserve"> </w:t>
      </w:r>
      <w:r>
        <w:rPr>
          <w:rFonts w:hint="eastAsia"/>
        </w:rPr>
        <w:t xml:space="preserve"> =</w:t>
      </w:r>
      <w:r>
        <w:rPr>
          <w:rFonts w:hint="eastAsia"/>
        </w:rPr>
        <w:tab/>
        <w:t>2.4801</w:t>
      </w:r>
    </w:p>
    <w:p w:rsidR="00000000" w:rsidRDefault="00000000">
      <w:pPr>
        <w:spacing w:before="120" w:line="360"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收入期</w:t>
      </w:r>
      <w:r>
        <w:rPr>
          <w:rFonts w:hint="eastAsia"/>
        </w:rPr>
        <w:tab/>
      </w:r>
      <w:r>
        <w:rPr>
          <w:rFonts w:hint="eastAsia"/>
        </w:rPr>
        <w:tab/>
      </w:r>
      <w:r>
        <w:rPr>
          <w:rFonts w:hint="eastAsia"/>
        </w:rPr>
        <w:tab/>
        <w:t xml:space="preserve">  29</w:t>
      </w:r>
    </w:p>
    <w:p w:rsidR="00000000" w:rsidRDefault="00000000">
      <w:pPr>
        <w:spacing w:line="192" w:lineRule="auto"/>
        <w:rPr>
          <w:rFonts w:hint="eastAsia"/>
        </w:rPr>
      </w:pPr>
    </w:p>
    <w:p w:rsidR="00000000" w:rsidRDefault="00000000">
      <w:pPr>
        <w:spacing w:after="240"/>
        <w:rPr>
          <w:rFonts w:hint="eastAsia"/>
        </w:rPr>
      </w:pPr>
      <w:r>
        <w:rPr>
          <w:rFonts w:hint="eastAsia"/>
        </w:rPr>
        <w:tab/>
      </w:r>
      <w:r>
        <w:rPr>
          <w:rFonts w:hint="eastAsia"/>
        </w:rPr>
        <w:t>但这项平均价值分数将是用于</w:t>
      </w:r>
      <w:r>
        <w:rPr>
          <w:rFonts w:hint="eastAsia"/>
        </w:rPr>
        <w:t>2009</w:t>
      </w:r>
      <w:r>
        <w:rPr>
          <w:rFonts w:hint="eastAsia"/>
        </w:rPr>
        <w:t>年以后，即过渡期到期后发放的养恤金。而</w:t>
      </w:r>
      <w:r>
        <w:rPr>
          <w:rFonts w:hint="eastAsia"/>
        </w:rPr>
        <w:t>1999</w:t>
      </w:r>
      <w:r>
        <w:rPr>
          <w:rFonts w:hint="eastAsia"/>
        </w:rPr>
        <w:t>年则使用最优惠平均价值分数值</w:t>
      </w:r>
      <w:r>
        <w:rPr>
          <w:rFonts w:hint="eastAsia"/>
        </w:rPr>
        <w:t>(10</w:t>
      </w:r>
      <w:r>
        <w:rPr>
          <w:rFonts w:hint="eastAsia"/>
        </w:rPr>
        <w:t>年收入期，在这种情况下：</w:t>
      </w:r>
      <w:r>
        <w:rPr>
          <w:rFonts w:hint="eastAsia"/>
        </w:rPr>
        <w:t>1970</w:t>
      </w:r>
      <w:r>
        <w:rPr>
          <w:rFonts w:hint="eastAsia"/>
        </w:rPr>
        <w:t>年至</w:t>
      </w:r>
      <w:r>
        <w:rPr>
          <w:rFonts w:hint="eastAsia"/>
        </w:rPr>
        <w:t>1979</w:t>
      </w:r>
      <w:r>
        <w:rPr>
          <w:rFonts w:hint="eastAsia"/>
        </w:rPr>
        <w:t>年</w:t>
      </w:r>
      <w:r>
        <w:rPr>
          <w:rFonts w:hint="eastAsia"/>
        </w:rPr>
        <w:t>)</w:t>
      </w:r>
      <w:r>
        <w:rPr>
          <w:rFonts w:hint="eastAsia"/>
        </w:rPr>
        <w:t>：</w:t>
      </w:r>
    </w:p>
    <w:p w:rsidR="00000000" w:rsidRDefault="00000000">
      <w:pPr>
        <w:spacing w:line="192" w:lineRule="auto"/>
        <w:rPr>
          <w:rFonts w:hint="eastAsia"/>
          <w:spacing w:val="0"/>
        </w:rPr>
      </w:pP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ab/>
      </w:r>
      <w:r>
        <w:rPr>
          <w:rFonts w:hint="eastAsia"/>
          <w:spacing w:val="-4"/>
        </w:rPr>
        <w:t>平均价值分数总额</w:t>
      </w:r>
      <w:r>
        <w:rPr>
          <w:rFonts w:hint="eastAsia"/>
          <w:spacing w:val="-4"/>
        </w:rPr>
        <w:t>(1970</w:t>
      </w:r>
      <w:r>
        <w:rPr>
          <w:rFonts w:hint="eastAsia"/>
          <w:spacing w:val="-4"/>
        </w:rPr>
        <w:t>年</w:t>
      </w:r>
      <w:r>
        <w:rPr>
          <w:rFonts w:hint="eastAsia"/>
          <w:spacing w:val="-4"/>
        </w:rPr>
        <w:t>-1979</w:t>
      </w:r>
      <w:r>
        <w:rPr>
          <w:rFonts w:hint="eastAsia"/>
          <w:spacing w:val="-4"/>
        </w:rPr>
        <w:t>年</w:t>
      </w:r>
      <w:r>
        <w:rPr>
          <w:rFonts w:hint="eastAsia"/>
          <w:spacing w:val="-4"/>
        </w:rPr>
        <w:t>)</w:t>
      </w:r>
      <w:r>
        <w:rPr>
          <w:rFonts w:hint="eastAsia"/>
          <w:spacing w:val="0"/>
        </w:rPr>
        <w:tab/>
      </w:r>
      <w:r>
        <w:rPr>
          <w:rFonts w:hint="eastAsia"/>
          <w:spacing w:val="0"/>
        </w:rPr>
        <w:tab/>
      </w:r>
      <w:r>
        <w:rPr>
          <w:spacing w:val="0"/>
        </w:rPr>
        <w:t xml:space="preserve"> </w:t>
      </w:r>
      <w:r>
        <w:rPr>
          <w:rFonts w:hint="eastAsia"/>
          <w:spacing w:val="0"/>
        </w:rPr>
        <w:t>27.7802</w:t>
      </w:r>
    </w:p>
    <w:p w:rsidR="00000000" w:rsidRDefault="00000000">
      <w:pPr>
        <w:spacing w:after="120" w:line="192" w:lineRule="auto"/>
        <w:rPr>
          <w:rFonts w:hint="eastAsia"/>
          <w:spacing w:val="0"/>
        </w:rPr>
      </w:pPr>
      <w:r>
        <w:rPr>
          <w:rFonts w:hint="eastAsia"/>
          <w:spacing w:val="-4"/>
        </w:rPr>
        <w:t>最优惠平均价值分数</w:t>
      </w:r>
      <w:r>
        <w:rPr>
          <w:rFonts w:hint="eastAsia"/>
          <w:spacing w:val="0"/>
        </w:rPr>
        <w:t xml:space="preserve"> =</w:t>
      </w:r>
      <w:r>
        <w:rPr>
          <w:rFonts w:hint="eastAsia"/>
          <w:spacing w:val="0"/>
        </w:rPr>
        <w:tab/>
      </w:r>
      <w:r>
        <w:rPr>
          <w:rFonts w:hint="eastAsia"/>
          <w:spacing w:val="0"/>
          <w:u w:val="single"/>
        </w:rPr>
        <w:tab/>
      </w:r>
      <w:r>
        <w:rPr>
          <w:rFonts w:hint="eastAsia"/>
          <w:spacing w:val="0"/>
          <w:u w:val="single"/>
        </w:rPr>
        <w:tab/>
      </w:r>
      <w:r>
        <w:rPr>
          <w:rFonts w:hint="eastAsia"/>
          <w:spacing w:val="0"/>
          <w:u w:val="single"/>
        </w:rPr>
        <w:tab/>
      </w:r>
      <w:r>
        <w:rPr>
          <w:rFonts w:hint="eastAsia"/>
          <w:spacing w:val="0"/>
          <w:u w:val="single"/>
        </w:rPr>
        <w:tab/>
      </w:r>
      <w:r>
        <w:rPr>
          <w:rFonts w:hint="eastAsia"/>
          <w:spacing w:val="0"/>
          <w:u w:val="single"/>
        </w:rPr>
        <w:tab/>
      </w:r>
      <w:r>
        <w:rPr>
          <w:rFonts w:hint="eastAsia"/>
          <w:spacing w:val="0"/>
          <w:u w:val="single"/>
        </w:rPr>
        <w:tab/>
      </w:r>
      <w:r>
        <w:rPr>
          <w:rFonts w:hint="eastAsia"/>
          <w:spacing w:val="0"/>
          <w:u w:val="single"/>
        </w:rPr>
        <w:tab/>
        <w:t xml:space="preserve"> </w:t>
      </w:r>
      <w:r>
        <w:rPr>
          <w:rFonts w:hint="eastAsia"/>
          <w:spacing w:val="0"/>
        </w:rPr>
        <w:tab/>
        <w:t>=</w:t>
      </w:r>
      <w:r>
        <w:rPr>
          <w:rFonts w:hint="eastAsia"/>
          <w:spacing w:val="0"/>
        </w:rPr>
        <w:tab/>
      </w:r>
      <w:r>
        <w:rPr>
          <w:rFonts w:hint="eastAsia"/>
          <w:spacing w:val="0"/>
          <w:u w:val="single"/>
        </w:rPr>
        <w:tab/>
      </w:r>
      <w:r>
        <w:rPr>
          <w:spacing w:val="0"/>
          <w:u w:val="single"/>
        </w:rPr>
        <w:tab/>
      </w:r>
      <w:r>
        <w:rPr>
          <w:spacing w:val="0"/>
        </w:rPr>
        <w:t xml:space="preserve"> </w:t>
      </w:r>
      <w:r>
        <w:rPr>
          <w:rFonts w:hint="eastAsia"/>
          <w:spacing w:val="0"/>
        </w:rPr>
        <w:t>= 2.7780</w:t>
      </w:r>
    </w:p>
    <w:p w:rsidR="00000000" w:rsidRDefault="00000000">
      <w:pPr>
        <w:spacing w:line="240" w:lineRule="auto"/>
        <w:rPr>
          <w:rFonts w:hint="eastAsia"/>
          <w:spacing w:val="0"/>
        </w:rPr>
      </w:pP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ab/>
        <w:t xml:space="preserve">          </w:t>
      </w:r>
      <w:r>
        <w:rPr>
          <w:rFonts w:hint="eastAsia"/>
          <w:spacing w:val="0"/>
        </w:rPr>
        <w:t>适用期</w:t>
      </w: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ab/>
        <w:t xml:space="preserve">       </w:t>
      </w:r>
      <w:r>
        <w:rPr>
          <w:spacing w:val="0"/>
        </w:rPr>
        <w:t xml:space="preserve"> </w:t>
      </w:r>
      <w:r>
        <w:rPr>
          <w:rFonts w:hint="eastAsia"/>
          <w:spacing w:val="0"/>
        </w:rPr>
        <w:t>10</w:t>
      </w:r>
    </w:p>
    <w:p w:rsidR="00000000" w:rsidRDefault="00000000">
      <w:pPr>
        <w:spacing w:line="360" w:lineRule="auto"/>
        <w:rPr>
          <w:rFonts w:hint="eastAsia"/>
          <w:spacing w:val="0"/>
        </w:rPr>
      </w:pPr>
    </w:p>
    <w:p w:rsidR="00000000" w:rsidRDefault="00000000">
      <w:pPr>
        <w:rPr>
          <w:rFonts w:hint="eastAsia"/>
        </w:rPr>
      </w:pPr>
      <w:r>
        <w:rPr>
          <w:rFonts w:hint="eastAsia"/>
        </w:rPr>
        <w:tab/>
        <w:t>40</w:t>
      </w:r>
      <w:r>
        <w:rPr>
          <w:rFonts w:hint="eastAsia"/>
        </w:rPr>
        <w:t>年</w:t>
      </w:r>
      <w:r>
        <w:rPr>
          <w:rFonts w:hint="eastAsia"/>
        </w:rPr>
        <w:t>2</w:t>
      </w:r>
      <w:r>
        <w:rPr>
          <w:rFonts w:hint="eastAsia"/>
        </w:rPr>
        <w:t>个月</w:t>
      </w:r>
      <w:r>
        <w:rPr>
          <w:rFonts w:hint="eastAsia"/>
        </w:rPr>
        <w:t>17</w:t>
      </w:r>
      <w:r>
        <w:rPr>
          <w:rFonts w:hint="eastAsia"/>
        </w:rPr>
        <w:t>天的总合格期表述为</w:t>
      </w:r>
      <w:r>
        <w:rPr>
          <w:rFonts w:hint="eastAsia"/>
        </w:rPr>
        <w:t>40.2134</w:t>
      </w:r>
      <w:r>
        <w:rPr>
          <w:rFonts w:hint="eastAsia"/>
        </w:rPr>
        <w:t>年</w:t>
      </w:r>
      <w:r>
        <w:rPr>
          <w:rFonts w:hint="eastAsia"/>
        </w:rPr>
        <w:t>(40+(2</w:t>
      </w:r>
      <w:r>
        <w:rPr>
          <w:rFonts w:hint="eastAsia"/>
        </w:rPr>
        <w:sym w:font="Symbol" w:char="F0B4"/>
      </w:r>
      <w:r>
        <w:rPr>
          <w:rFonts w:hint="eastAsia"/>
        </w:rPr>
        <w:t>0.0834)+(17</w:t>
      </w:r>
      <w:r>
        <w:rPr>
          <w:rFonts w:hint="eastAsia"/>
        </w:rPr>
        <w:sym w:font="Symbol" w:char="F0B4"/>
      </w:r>
      <w:r>
        <w:rPr>
          <w:rFonts w:hint="eastAsia"/>
        </w:rPr>
        <w:t xml:space="preserve">0.000274)) </w:t>
      </w:r>
      <w:r>
        <w:rPr>
          <w:rFonts w:hint="eastAsia"/>
          <w:spacing w:val="-40"/>
        </w:rPr>
        <w:t>——</w:t>
      </w:r>
      <w:r>
        <w:t xml:space="preserve"> </w:t>
      </w:r>
      <w:r>
        <w:rPr>
          <w:rFonts w:hint="eastAsia"/>
        </w:rPr>
        <w:t>一个月以系数</w:t>
      </w:r>
      <w:r>
        <w:rPr>
          <w:rFonts w:hint="eastAsia"/>
        </w:rPr>
        <w:t>0.0834</w:t>
      </w:r>
      <w:r>
        <w:rPr>
          <w:rFonts w:hint="eastAsia"/>
        </w:rPr>
        <w:t>计，一天以系数</w:t>
      </w:r>
      <w:r>
        <w:rPr>
          <w:rFonts w:hint="eastAsia"/>
        </w:rPr>
        <w:t>0.00274</w:t>
      </w:r>
      <w:r>
        <w:rPr>
          <w:rFonts w:hint="eastAsia"/>
        </w:rPr>
        <w:t>计</w:t>
      </w:r>
      <w:r>
        <w:rPr>
          <w:rFonts w:hint="eastAsia"/>
        </w:rPr>
        <w:t>(</w:t>
      </w:r>
      <w:r>
        <w:rPr>
          <w:rFonts w:hint="eastAsia"/>
        </w:rPr>
        <w:t>一年的十进位制部分</w:t>
      </w:r>
      <w:r>
        <w:rPr>
          <w:rFonts w:hint="eastAsia"/>
        </w:rPr>
        <w:t>)</w:t>
      </w:r>
      <w:r>
        <w:rPr>
          <w:rFonts w:hint="eastAsia"/>
        </w:rPr>
        <w:t>。</w:t>
      </w:r>
    </w:p>
    <w:p w:rsidR="00000000" w:rsidRDefault="00000000">
      <w:pPr>
        <w:rPr>
          <w:rFonts w:hint="eastAsia"/>
        </w:rPr>
      </w:pPr>
      <w:r>
        <w:rPr>
          <w:rFonts w:hint="eastAsia"/>
        </w:rPr>
        <w:tab/>
      </w:r>
      <w:r>
        <w:rPr>
          <w:rFonts w:hint="eastAsia"/>
        </w:rPr>
        <w:t>实际养恤金值从</w:t>
      </w:r>
      <w:r>
        <w:rPr>
          <w:rFonts w:hint="eastAsia"/>
        </w:rPr>
        <w:t>1999</w:t>
      </w:r>
      <w:r>
        <w:rPr>
          <w:rFonts w:hint="eastAsia"/>
        </w:rPr>
        <w:t>年</w:t>
      </w:r>
      <w:r>
        <w:rPr>
          <w:rFonts w:hint="eastAsia"/>
        </w:rPr>
        <w:t>1</w:t>
      </w:r>
      <w:r>
        <w:rPr>
          <w:rFonts w:hint="eastAsia"/>
        </w:rPr>
        <w:t>月</w:t>
      </w:r>
      <w:r>
        <w:rPr>
          <w:rFonts w:hint="eastAsia"/>
        </w:rPr>
        <w:t>1</w:t>
      </w:r>
      <w:r>
        <w:rPr>
          <w:rFonts w:hint="eastAsia"/>
        </w:rPr>
        <w:t>日起为</w:t>
      </w:r>
      <w:r>
        <w:rPr>
          <w:rFonts w:hint="eastAsia"/>
        </w:rPr>
        <w:t>35.16</w:t>
      </w:r>
      <w:r>
        <w:rPr>
          <w:rFonts w:hint="eastAsia"/>
        </w:rPr>
        <w:t>库纳，从指数化后的</w:t>
      </w:r>
      <w:r>
        <w:rPr>
          <w:rFonts w:hint="eastAsia"/>
        </w:rPr>
        <w:t>1999</w:t>
      </w:r>
      <w:r>
        <w:rPr>
          <w:rFonts w:hint="eastAsia"/>
        </w:rPr>
        <w:t>年</w:t>
      </w:r>
      <w:r>
        <w:rPr>
          <w:rFonts w:hint="eastAsia"/>
        </w:rPr>
        <w:t>1</w:t>
      </w:r>
      <w:r>
        <w:rPr>
          <w:rFonts w:hint="eastAsia"/>
        </w:rPr>
        <w:t>月</w:t>
      </w:r>
      <w:r>
        <w:rPr>
          <w:rFonts w:hint="eastAsia"/>
        </w:rPr>
        <w:t>1</w:t>
      </w:r>
      <w:r>
        <w:rPr>
          <w:rFonts w:hint="eastAsia"/>
        </w:rPr>
        <w:t>日起为</w:t>
      </w:r>
      <w:r>
        <w:rPr>
          <w:rFonts w:hint="eastAsia"/>
        </w:rPr>
        <w:t>36.51</w:t>
      </w:r>
      <w:r>
        <w:rPr>
          <w:rFonts w:hint="eastAsia"/>
        </w:rPr>
        <w:t>库纳。</w:t>
      </w:r>
    </w:p>
    <w:p w:rsidR="00000000" w:rsidRDefault="00000000">
      <w:pPr>
        <w:rPr>
          <w:rFonts w:hint="eastAsia"/>
        </w:rPr>
      </w:pPr>
      <w:r>
        <w:rPr>
          <w:rFonts w:hint="eastAsia"/>
        </w:rPr>
        <w:tab/>
      </w:r>
      <w:r>
        <w:rPr>
          <w:rFonts w:hint="eastAsia"/>
        </w:rPr>
        <w:t>个人分数</w:t>
      </w:r>
      <w:r>
        <w:rPr>
          <w:rFonts w:hint="eastAsia"/>
        </w:rPr>
        <w:t xml:space="preserve"> = </w:t>
      </w:r>
      <w:r>
        <w:rPr>
          <w:rFonts w:hint="eastAsia"/>
        </w:rPr>
        <w:t>合格期</w:t>
      </w:r>
      <w:r>
        <w:rPr>
          <w:rFonts w:hint="eastAsia"/>
        </w:rPr>
        <w:sym w:font="Symbol" w:char="F0B4"/>
      </w:r>
      <w:r>
        <w:rPr>
          <w:rFonts w:hint="eastAsia"/>
        </w:rPr>
        <w:t>最优惠平均价值分数</w:t>
      </w:r>
      <w:r>
        <w:rPr>
          <w:rFonts w:hint="eastAsia"/>
        </w:rPr>
        <w:sym w:font="Symbol" w:char="F0B4"/>
      </w:r>
      <w:r>
        <w:rPr>
          <w:rFonts w:hint="eastAsia"/>
        </w:rPr>
        <w:t>初始系数</w:t>
      </w:r>
      <w:r>
        <w:rPr>
          <w:rFonts w:hint="eastAsia"/>
        </w:rPr>
        <w:t xml:space="preserve"> = 40.2134</w:t>
      </w:r>
      <w:r>
        <w:rPr>
          <w:rFonts w:hint="eastAsia"/>
        </w:rPr>
        <w:sym w:font="Symbol" w:char="F0B4"/>
      </w:r>
      <w:r>
        <w:rPr>
          <w:rFonts w:hint="eastAsia"/>
        </w:rPr>
        <w:t xml:space="preserve">2.7780 </w:t>
      </w:r>
      <w:r>
        <w:rPr>
          <w:rFonts w:hint="eastAsia"/>
        </w:rPr>
        <w:sym w:font="Symbol" w:char="F0B4"/>
      </w:r>
      <w:r>
        <w:rPr>
          <w:rFonts w:hint="eastAsia"/>
        </w:rPr>
        <w:t>1 = 111.7128</w:t>
      </w:r>
      <w:r>
        <w:rPr>
          <w:rFonts w:hint="eastAsia"/>
        </w:rPr>
        <w:t>。</w:t>
      </w:r>
    </w:p>
    <w:p w:rsidR="00000000" w:rsidRDefault="00000000">
      <w:pPr>
        <w:rPr>
          <w:rFonts w:hint="eastAsia"/>
        </w:rPr>
      </w:pPr>
      <w:r>
        <w:rPr>
          <w:rFonts w:hint="eastAsia"/>
        </w:rPr>
        <w:tab/>
      </w:r>
      <w:r>
        <w:rPr>
          <w:rFonts w:hint="eastAsia"/>
          <w:u w:val="single"/>
        </w:rPr>
        <w:t>99</w:t>
      </w:r>
      <w:r>
        <w:rPr>
          <w:rFonts w:hint="eastAsia"/>
          <w:u w:val="single"/>
        </w:rPr>
        <w:t>年</w:t>
      </w:r>
      <w:r>
        <w:rPr>
          <w:rFonts w:hint="eastAsia"/>
          <w:u w:val="single"/>
        </w:rPr>
        <w:t>1</w:t>
      </w:r>
      <w:r>
        <w:rPr>
          <w:rFonts w:hint="eastAsia"/>
          <w:u w:val="single"/>
        </w:rPr>
        <w:t>月</w:t>
      </w:r>
      <w:r>
        <w:rPr>
          <w:rFonts w:hint="eastAsia"/>
          <w:u w:val="single"/>
        </w:rPr>
        <w:t>1</w:t>
      </w:r>
      <w:r>
        <w:rPr>
          <w:rFonts w:hint="eastAsia"/>
          <w:u w:val="single"/>
        </w:rPr>
        <w:t>日的养恤金</w:t>
      </w:r>
      <w:r>
        <w:rPr>
          <w:rFonts w:hint="eastAsia"/>
        </w:rPr>
        <w:t xml:space="preserve"> = </w:t>
      </w:r>
      <w:r>
        <w:rPr>
          <w:rFonts w:hint="eastAsia"/>
        </w:rPr>
        <w:t>个人分数</w:t>
      </w:r>
      <w:r>
        <w:rPr>
          <w:rFonts w:hint="eastAsia"/>
        </w:rPr>
        <w:sym w:font="Symbol" w:char="F0B4"/>
      </w:r>
      <w:r>
        <w:rPr>
          <w:rFonts w:hint="eastAsia"/>
        </w:rPr>
        <w:t>养恤金系数</w:t>
      </w:r>
      <w:r>
        <w:rPr>
          <w:rFonts w:hint="eastAsia"/>
        </w:rPr>
        <w:sym w:font="Symbol" w:char="F0B4"/>
      </w:r>
      <w:r>
        <w:rPr>
          <w:rFonts w:hint="eastAsia"/>
        </w:rPr>
        <w:t>1999</w:t>
      </w:r>
      <w:r>
        <w:rPr>
          <w:rFonts w:hint="eastAsia"/>
        </w:rPr>
        <w:t>年</w:t>
      </w:r>
      <w:r>
        <w:rPr>
          <w:rFonts w:hint="eastAsia"/>
        </w:rPr>
        <w:t>1</w:t>
      </w:r>
      <w:r>
        <w:rPr>
          <w:rFonts w:hint="eastAsia"/>
        </w:rPr>
        <w:t>月</w:t>
      </w:r>
      <w:r>
        <w:rPr>
          <w:rFonts w:hint="eastAsia"/>
        </w:rPr>
        <w:t>1</w:t>
      </w:r>
      <w:r>
        <w:rPr>
          <w:rFonts w:hint="eastAsia"/>
        </w:rPr>
        <w:t>日的平均价值分数</w:t>
      </w:r>
      <w:r>
        <w:t xml:space="preserve"> </w:t>
      </w:r>
      <w:r>
        <w:rPr>
          <w:rFonts w:hint="eastAsia"/>
        </w:rPr>
        <w:t>=</w:t>
      </w:r>
      <w:r>
        <w:t xml:space="preserve"> </w:t>
      </w:r>
      <w:r>
        <w:rPr>
          <w:rFonts w:hint="eastAsia"/>
        </w:rPr>
        <w:t>111.7128</w:t>
      </w:r>
      <w:r>
        <w:rPr>
          <w:rFonts w:hint="eastAsia"/>
        </w:rPr>
        <w:sym w:font="Symbol" w:char="F0B4"/>
      </w:r>
      <w:r>
        <w:rPr>
          <w:rFonts w:hint="eastAsia"/>
        </w:rPr>
        <w:t>1</w:t>
      </w:r>
      <w:r>
        <w:rPr>
          <w:rFonts w:hint="eastAsia"/>
        </w:rPr>
        <w:sym w:font="Symbol" w:char="F0B4"/>
      </w:r>
      <w:r>
        <w:rPr>
          <w:rFonts w:hint="eastAsia"/>
        </w:rPr>
        <w:t>35.16 = 3,927.82</w:t>
      </w:r>
      <w:r>
        <w:rPr>
          <w:rFonts w:hint="eastAsia"/>
        </w:rPr>
        <w:t>库纳。</w:t>
      </w:r>
    </w:p>
    <w:p w:rsidR="00000000" w:rsidRDefault="00000000">
      <w:pPr>
        <w:rPr>
          <w:rFonts w:hint="eastAsia"/>
        </w:rPr>
      </w:pPr>
      <w:r>
        <w:rPr>
          <w:rFonts w:hint="eastAsia"/>
        </w:rPr>
        <w:tab/>
      </w:r>
      <w:r>
        <w:rPr>
          <w:rFonts w:hint="eastAsia"/>
        </w:rPr>
        <w:t>指数化后</w:t>
      </w:r>
      <w:r>
        <w:rPr>
          <w:rFonts w:hint="eastAsia"/>
        </w:rPr>
        <w:t>1999</w:t>
      </w:r>
      <w:r>
        <w:rPr>
          <w:rFonts w:hint="eastAsia"/>
        </w:rPr>
        <w:t>年</w:t>
      </w:r>
      <w:r>
        <w:rPr>
          <w:rFonts w:hint="eastAsia"/>
        </w:rPr>
        <w:t>7</w:t>
      </w:r>
      <w:r>
        <w:rPr>
          <w:rFonts w:hint="eastAsia"/>
        </w:rPr>
        <w:t>月</w:t>
      </w:r>
      <w:r>
        <w:rPr>
          <w:rFonts w:hint="eastAsia"/>
        </w:rPr>
        <w:t>1</w:t>
      </w:r>
      <w:r>
        <w:rPr>
          <w:rFonts w:hint="eastAsia"/>
        </w:rPr>
        <w:t>日的养恤金</w:t>
      </w:r>
      <w:r>
        <w:rPr>
          <w:rFonts w:hint="eastAsia"/>
        </w:rPr>
        <w:t xml:space="preserve"> = </w:t>
      </w:r>
      <w:r>
        <w:rPr>
          <w:rFonts w:hint="eastAsia"/>
        </w:rPr>
        <w:t>个人分数</w:t>
      </w:r>
      <w:r>
        <w:rPr>
          <w:rFonts w:hint="eastAsia"/>
        </w:rPr>
        <w:sym w:font="Symbol" w:char="F0B4"/>
      </w:r>
      <w:r>
        <w:rPr>
          <w:rFonts w:hint="eastAsia"/>
        </w:rPr>
        <w:t>养恤金系数</w:t>
      </w:r>
      <w:r>
        <w:rPr>
          <w:rFonts w:hint="eastAsia"/>
        </w:rPr>
        <w:sym w:font="Symbol" w:char="F0B4"/>
      </w:r>
      <w:r>
        <w:rPr>
          <w:rFonts w:hint="eastAsia"/>
        </w:rPr>
        <w:t>1999</w:t>
      </w:r>
      <w:r>
        <w:rPr>
          <w:rFonts w:hint="eastAsia"/>
        </w:rPr>
        <w:t>年</w:t>
      </w:r>
      <w:r>
        <w:rPr>
          <w:rFonts w:hint="eastAsia"/>
        </w:rPr>
        <w:t>7</w:t>
      </w:r>
      <w:r>
        <w:rPr>
          <w:rFonts w:hint="eastAsia"/>
        </w:rPr>
        <w:t>月</w:t>
      </w:r>
      <w:r>
        <w:rPr>
          <w:rFonts w:hint="eastAsia"/>
        </w:rPr>
        <w:t>1</w:t>
      </w:r>
      <w:r>
        <w:rPr>
          <w:rFonts w:hint="eastAsia"/>
        </w:rPr>
        <w:t>日的平均价值分数</w:t>
      </w:r>
      <w:r>
        <w:rPr>
          <w:rFonts w:hint="eastAsia"/>
        </w:rPr>
        <w:t xml:space="preserve"> = 111.7128</w:t>
      </w:r>
      <w:r>
        <w:rPr>
          <w:rFonts w:hint="eastAsia"/>
        </w:rPr>
        <w:sym w:font="Symbol" w:char="F0B4"/>
      </w:r>
      <w:r>
        <w:rPr>
          <w:rFonts w:hint="eastAsia"/>
        </w:rPr>
        <w:t>1</w:t>
      </w:r>
      <w:r>
        <w:rPr>
          <w:rFonts w:hint="eastAsia"/>
        </w:rPr>
        <w:sym w:font="Symbol" w:char="F0B4"/>
      </w:r>
      <w:r>
        <w:rPr>
          <w:rFonts w:hint="eastAsia"/>
        </w:rPr>
        <w:t xml:space="preserve">36.51 = </w:t>
      </w:r>
      <w:r>
        <w:rPr>
          <w:rFonts w:hint="eastAsia"/>
          <w:u w:val="single"/>
        </w:rPr>
        <w:t>4,078.63</w:t>
      </w:r>
      <w:r>
        <w:rPr>
          <w:rFonts w:hint="eastAsia"/>
          <w:u w:val="single"/>
        </w:rPr>
        <w:t>库纳</w:t>
      </w:r>
      <w:r>
        <w:rPr>
          <w:rFonts w:hint="eastAsia"/>
        </w:rPr>
        <w:t>。</w:t>
      </w:r>
    </w:p>
    <w:p w:rsidR="00000000" w:rsidRDefault="00000000">
      <w:pPr>
        <w:rPr>
          <w:rFonts w:hint="eastAsia"/>
        </w:rPr>
      </w:pPr>
      <w:r>
        <w:rPr>
          <w:rFonts w:hint="eastAsia"/>
        </w:rPr>
        <w:tab/>
      </w:r>
      <w:r>
        <w:rPr>
          <w:rFonts w:hint="eastAsia"/>
        </w:rPr>
        <w:t>现在我们将举例表明如果最低或最高养恤金应于</w:t>
      </w:r>
      <w:r>
        <w:rPr>
          <w:rFonts w:hint="eastAsia"/>
        </w:rPr>
        <w:t>99</w:t>
      </w:r>
      <w:r>
        <w:rPr>
          <w:rFonts w:hint="eastAsia"/>
        </w:rPr>
        <w:t>年</w:t>
      </w:r>
      <w:r>
        <w:rPr>
          <w:rFonts w:hint="eastAsia"/>
        </w:rPr>
        <w:t>7</w:t>
      </w:r>
      <w:r>
        <w:rPr>
          <w:rFonts w:hint="eastAsia"/>
        </w:rPr>
        <w:t>月</w:t>
      </w:r>
      <w:r>
        <w:rPr>
          <w:rFonts w:hint="eastAsia"/>
        </w:rPr>
        <w:t>1</w:t>
      </w:r>
      <w:r>
        <w:rPr>
          <w:rFonts w:hint="eastAsia"/>
        </w:rPr>
        <w:t>日支付时的演算方法：</w:t>
      </w:r>
    </w:p>
    <w:p w:rsidR="00000000" w:rsidRDefault="00000000">
      <w:pPr>
        <w:rPr>
          <w:rFonts w:hint="eastAsia"/>
        </w:rPr>
      </w:pPr>
      <w:r>
        <w:rPr>
          <w:rFonts w:hint="eastAsia"/>
        </w:rPr>
        <w:tab/>
      </w:r>
      <w:r>
        <w:rPr>
          <w:rFonts w:hint="eastAsia"/>
          <w:u w:val="single"/>
        </w:rPr>
        <w:t>最高养恤金</w:t>
      </w:r>
      <w:r>
        <w:rPr>
          <w:rFonts w:hint="eastAsia"/>
        </w:rPr>
        <w:t xml:space="preserve">. </w:t>
      </w:r>
      <w:r>
        <w:rPr>
          <w:rFonts w:hint="eastAsia"/>
        </w:rPr>
        <w:t>价值分数</w:t>
      </w:r>
      <w:r>
        <w:rPr>
          <w:rFonts w:hint="eastAsia"/>
        </w:rPr>
        <w:t xml:space="preserve"> = </w:t>
      </w:r>
      <w:r>
        <w:rPr>
          <w:rFonts w:hint="eastAsia"/>
        </w:rPr>
        <w:t>每年所完成合格期的</w:t>
      </w:r>
      <w:r>
        <w:rPr>
          <w:rFonts w:hint="eastAsia"/>
        </w:rPr>
        <w:t>3.8</w:t>
      </w:r>
      <w:r>
        <w:rPr>
          <w:rFonts w:hint="eastAsia"/>
        </w:rPr>
        <w:t>。</w:t>
      </w:r>
    </w:p>
    <w:p w:rsidR="00000000" w:rsidRDefault="00000000">
      <w:pPr>
        <w:rPr>
          <w:rFonts w:hint="eastAsia"/>
        </w:rPr>
      </w:pPr>
      <w:r>
        <w:rPr>
          <w:rFonts w:hint="eastAsia"/>
        </w:rPr>
        <w:tab/>
      </w:r>
      <w:r>
        <w:rPr>
          <w:rFonts w:hint="eastAsia"/>
        </w:rPr>
        <w:t>个人分数</w:t>
      </w:r>
      <w:r>
        <w:rPr>
          <w:rFonts w:hint="eastAsia"/>
        </w:rPr>
        <w:t xml:space="preserve"> = </w:t>
      </w:r>
      <w:r>
        <w:rPr>
          <w:rFonts w:hint="eastAsia"/>
        </w:rPr>
        <w:t>合格期</w:t>
      </w:r>
      <w:r>
        <w:rPr>
          <w:rFonts w:hint="eastAsia"/>
        </w:rPr>
        <w:sym w:font="Symbol" w:char="F0B4"/>
      </w:r>
      <w:r>
        <w:rPr>
          <w:rFonts w:hint="eastAsia"/>
        </w:rPr>
        <w:t>3.8</w:t>
      </w:r>
      <w:r>
        <w:rPr>
          <w:rFonts w:hint="eastAsia"/>
        </w:rPr>
        <w:sym w:font="Symbol" w:char="F0B4"/>
      </w:r>
      <w:r>
        <w:rPr>
          <w:rFonts w:hint="eastAsia"/>
        </w:rPr>
        <w:t>初始系数</w:t>
      </w:r>
      <w:r>
        <w:rPr>
          <w:rFonts w:hint="eastAsia"/>
        </w:rPr>
        <w:t xml:space="preserve"> = 40.2134</w:t>
      </w:r>
      <w:r>
        <w:rPr>
          <w:rFonts w:hint="eastAsia"/>
        </w:rPr>
        <w:sym w:font="Symbol" w:char="F0B4"/>
      </w:r>
      <w:r>
        <w:rPr>
          <w:rFonts w:hint="eastAsia"/>
        </w:rPr>
        <w:t>3.8</w:t>
      </w:r>
      <w:r>
        <w:rPr>
          <w:rFonts w:hint="eastAsia"/>
        </w:rPr>
        <w:sym w:font="Symbol" w:char="F0B4"/>
      </w:r>
      <w:r>
        <w:rPr>
          <w:rFonts w:hint="eastAsia"/>
        </w:rPr>
        <w:t>1 = 152.8109</w:t>
      </w:r>
      <w:r>
        <w:rPr>
          <w:rFonts w:hint="eastAsia"/>
        </w:rPr>
        <w:t>。</w:t>
      </w:r>
    </w:p>
    <w:p w:rsidR="00000000" w:rsidRDefault="00000000">
      <w:pPr>
        <w:rPr>
          <w:rFonts w:hint="eastAsia"/>
        </w:rPr>
      </w:pPr>
      <w:r>
        <w:rPr>
          <w:rFonts w:hint="eastAsia"/>
        </w:rPr>
        <w:tab/>
        <w:t>99</w:t>
      </w:r>
      <w:r>
        <w:rPr>
          <w:rFonts w:hint="eastAsia"/>
        </w:rPr>
        <w:t>年</w:t>
      </w:r>
      <w:r>
        <w:rPr>
          <w:rFonts w:hint="eastAsia"/>
        </w:rPr>
        <w:t>7</w:t>
      </w:r>
      <w:r>
        <w:rPr>
          <w:rFonts w:hint="eastAsia"/>
        </w:rPr>
        <w:t>月</w:t>
      </w:r>
      <w:r>
        <w:rPr>
          <w:rFonts w:hint="eastAsia"/>
        </w:rPr>
        <w:t>1</w:t>
      </w:r>
      <w:r>
        <w:rPr>
          <w:rFonts w:hint="eastAsia"/>
        </w:rPr>
        <w:t>日的最高养恤金</w:t>
      </w:r>
      <w:r>
        <w:rPr>
          <w:rFonts w:hint="eastAsia"/>
        </w:rPr>
        <w:t xml:space="preserve"> = </w:t>
      </w:r>
      <w:r>
        <w:rPr>
          <w:rFonts w:hint="eastAsia"/>
        </w:rPr>
        <w:t>个人分数</w:t>
      </w:r>
      <w:r>
        <w:rPr>
          <w:rFonts w:hint="eastAsia"/>
        </w:rPr>
        <w:sym w:font="Symbol" w:char="F0B4"/>
      </w:r>
      <w:r>
        <w:rPr>
          <w:rFonts w:hint="eastAsia"/>
        </w:rPr>
        <w:t>养恤金系数</w:t>
      </w:r>
      <w:r>
        <w:rPr>
          <w:rFonts w:hint="eastAsia"/>
        </w:rPr>
        <w:sym w:font="Symbol" w:char="F0B4"/>
      </w:r>
      <w:r>
        <w:rPr>
          <w:rFonts w:hint="eastAsia"/>
        </w:rPr>
        <w:t>99</w:t>
      </w:r>
      <w:r>
        <w:rPr>
          <w:rFonts w:hint="eastAsia"/>
        </w:rPr>
        <w:t>年</w:t>
      </w:r>
      <w:r>
        <w:rPr>
          <w:rFonts w:hint="eastAsia"/>
        </w:rPr>
        <w:t>7</w:t>
      </w:r>
      <w:r>
        <w:rPr>
          <w:rFonts w:hint="eastAsia"/>
        </w:rPr>
        <w:t>月</w:t>
      </w:r>
      <w:r>
        <w:rPr>
          <w:rFonts w:hint="eastAsia"/>
        </w:rPr>
        <w:t>1</w:t>
      </w:r>
      <w:r>
        <w:rPr>
          <w:rFonts w:hint="eastAsia"/>
        </w:rPr>
        <w:t>日的平均价值分数</w:t>
      </w:r>
      <w:r>
        <w:rPr>
          <w:rFonts w:hint="eastAsia"/>
        </w:rPr>
        <w:t xml:space="preserve"> = 40.2134</w:t>
      </w:r>
      <w:r>
        <w:rPr>
          <w:rFonts w:hint="eastAsia"/>
        </w:rPr>
        <w:t>合格年为</w:t>
      </w:r>
      <w:r>
        <w:rPr>
          <w:rFonts w:hint="eastAsia"/>
        </w:rPr>
        <w:t>1521.8109</w:t>
      </w:r>
      <w:r>
        <w:rPr>
          <w:rFonts w:hint="eastAsia"/>
        </w:rPr>
        <w:sym w:font="Symbol" w:char="F0B4"/>
      </w:r>
      <w:r>
        <w:rPr>
          <w:rFonts w:hint="eastAsia"/>
        </w:rPr>
        <w:t>1</w:t>
      </w:r>
      <w:r>
        <w:rPr>
          <w:rFonts w:hint="eastAsia"/>
        </w:rPr>
        <w:sym w:font="Symbol" w:char="F0B4"/>
      </w:r>
      <w:r>
        <w:rPr>
          <w:rFonts w:hint="eastAsia"/>
        </w:rPr>
        <w:t>36.51 = 5,579.12</w:t>
      </w:r>
      <w:r>
        <w:rPr>
          <w:rFonts w:hint="eastAsia"/>
        </w:rPr>
        <w:t>库纳。</w:t>
      </w:r>
    </w:p>
    <w:p w:rsidR="00000000" w:rsidRDefault="00000000">
      <w:pPr>
        <w:rPr>
          <w:rFonts w:hint="eastAsia"/>
        </w:rPr>
      </w:pPr>
      <w:r>
        <w:rPr>
          <w:rFonts w:hint="eastAsia"/>
        </w:rPr>
        <w:tab/>
      </w:r>
      <w:r>
        <w:rPr>
          <w:rFonts w:hint="eastAsia"/>
        </w:rPr>
        <w:t>最高养恤金不能付给有关人员，因为计算出的养恤金额通常低于最高养恤金额。</w:t>
      </w:r>
    </w:p>
    <w:p w:rsidR="00000000" w:rsidRDefault="00000000">
      <w:pPr>
        <w:rPr>
          <w:rFonts w:hint="eastAsia"/>
        </w:rPr>
      </w:pPr>
      <w:r>
        <w:rPr>
          <w:rFonts w:hint="eastAsia"/>
        </w:rPr>
        <w:tab/>
      </w:r>
      <w:r>
        <w:rPr>
          <w:rFonts w:hint="eastAsia"/>
          <w:u w:val="single"/>
        </w:rPr>
        <w:t>最低养恤金</w:t>
      </w:r>
      <w:r>
        <w:rPr>
          <w:rFonts w:hint="eastAsia"/>
        </w:rPr>
        <w:t xml:space="preserve">. </w:t>
      </w:r>
      <w:r>
        <w:rPr>
          <w:rFonts w:hint="eastAsia"/>
        </w:rPr>
        <w:t>每合格年的最低养恤金价值从</w:t>
      </w:r>
      <w:r>
        <w:rPr>
          <w:rFonts w:hint="eastAsia"/>
        </w:rPr>
        <w:t>99</w:t>
      </w:r>
      <w:r>
        <w:rPr>
          <w:rFonts w:hint="eastAsia"/>
        </w:rPr>
        <w:t>年</w:t>
      </w:r>
      <w:r>
        <w:rPr>
          <w:rFonts w:hint="eastAsia"/>
        </w:rPr>
        <w:t>7</w:t>
      </w:r>
      <w:r>
        <w:rPr>
          <w:rFonts w:hint="eastAsia"/>
        </w:rPr>
        <w:t>月</w:t>
      </w:r>
      <w:r>
        <w:rPr>
          <w:rFonts w:hint="eastAsia"/>
        </w:rPr>
        <w:t>1</w:t>
      </w:r>
      <w:r>
        <w:rPr>
          <w:rFonts w:hint="eastAsia"/>
        </w:rPr>
        <w:t>日起为</w:t>
      </w:r>
      <w:r>
        <w:rPr>
          <w:rFonts w:hint="eastAsia"/>
        </w:rPr>
        <w:t>35.39</w:t>
      </w:r>
      <w:r>
        <w:rPr>
          <w:rFonts w:hint="eastAsia"/>
        </w:rPr>
        <w:t>库纳。</w:t>
      </w:r>
      <w:r>
        <w:rPr>
          <w:rFonts w:hint="eastAsia"/>
        </w:rPr>
        <w:tab/>
      </w:r>
      <w:r>
        <w:rPr>
          <w:rFonts w:hint="eastAsia"/>
        </w:rPr>
        <w:t>最低养恤金</w:t>
      </w:r>
      <w:r>
        <w:rPr>
          <w:rFonts w:hint="eastAsia"/>
        </w:rPr>
        <w:t xml:space="preserve"> = </w:t>
      </w:r>
      <w:r>
        <w:rPr>
          <w:rFonts w:hint="eastAsia"/>
        </w:rPr>
        <w:t>每一年最低养恤金价值</w:t>
      </w:r>
      <w:r>
        <w:rPr>
          <w:rFonts w:hint="eastAsia"/>
        </w:rPr>
        <w:sym w:font="Symbol" w:char="F0B4"/>
      </w:r>
      <w:r>
        <w:rPr>
          <w:rFonts w:hint="eastAsia"/>
        </w:rPr>
        <w:t>合格期</w:t>
      </w:r>
      <w:r>
        <w:rPr>
          <w:rFonts w:hint="eastAsia"/>
        </w:rPr>
        <w:sym w:font="Symbol" w:char="F0B4"/>
      </w:r>
      <w:r>
        <w:rPr>
          <w:rFonts w:hint="eastAsia"/>
        </w:rPr>
        <w:t>养恤金系数</w:t>
      </w:r>
      <w:r>
        <w:rPr>
          <w:rFonts w:hint="eastAsia"/>
        </w:rPr>
        <w:t xml:space="preserve"> = 35.39</w:t>
      </w:r>
      <w:r>
        <w:rPr>
          <w:rFonts w:hint="eastAsia"/>
        </w:rPr>
        <w:sym w:font="Symbol" w:char="F0B4"/>
      </w:r>
      <w:r>
        <w:rPr>
          <w:rFonts w:hint="eastAsia"/>
        </w:rPr>
        <w:t>40</w:t>
      </w:r>
      <w:r>
        <w:rPr>
          <w:rFonts w:hint="eastAsia"/>
        </w:rPr>
        <w:sym w:font="Symbol" w:char="F0B4"/>
      </w:r>
      <w:r>
        <w:rPr>
          <w:rFonts w:hint="eastAsia"/>
        </w:rPr>
        <w:t>1 = 40.2134</w:t>
      </w:r>
      <w:r>
        <w:rPr>
          <w:rFonts w:hint="eastAsia"/>
        </w:rPr>
        <w:t>合格年为</w:t>
      </w:r>
      <w:r>
        <w:rPr>
          <w:rFonts w:hint="eastAsia"/>
        </w:rPr>
        <w:t>1,415.60</w:t>
      </w:r>
      <w:r>
        <w:rPr>
          <w:rFonts w:hint="eastAsia"/>
        </w:rPr>
        <w:t>库纳。</w:t>
      </w:r>
    </w:p>
    <w:p w:rsidR="00000000" w:rsidRDefault="00000000">
      <w:pPr>
        <w:rPr>
          <w:rFonts w:hint="eastAsia"/>
        </w:rPr>
      </w:pPr>
      <w:r>
        <w:rPr>
          <w:rFonts w:hint="eastAsia"/>
        </w:rPr>
        <w:tab/>
        <w:t>(</w:t>
      </w:r>
      <w:r>
        <w:rPr>
          <w:rFonts w:hint="eastAsia"/>
        </w:rPr>
        <w:t>说明：最低养恤金以完成的整年合格期计，不按每年的十进位制部分</w:t>
      </w:r>
      <w:r>
        <w:rPr>
          <w:rFonts w:hint="eastAsia"/>
          <w:spacing w:val="-40"/>
          <w:sz w:val="22"/>
        </w:rPr>
        <w:t>——</w:t>
      </w:r>
      <w:r>
        <w:rPr>
          <w:sz w:val="22"/>
        </w:rPr>
        <w:t xml:space="preserve"> </w:t>
      </w:r>
      <w:r>
        <w:rPr>
          <w:rFonts w:hint="eastAsia"/>
        </w:rPr>
        <w:t>即不计月份和天数。</w:t>
      </w:r>
      <w:r>
        <w:rPr>
          <w:rFonts w:hint="eastAsia"/>
        </w:rPr>
        <w:t>)</w:t>
      </w:r>
    </w:p>
    <w:p w:rsidR="00000000" w:rsidRDefault="00000000">
      <w:pPr>
        <w:rPr>
          <w:rFonts w:hint="eastAsia"/>
        </w:rPr>
      </w:pPr>
      <w:r>
        <w:rPr>
          <w:rFonts w:hint="eastAsia"/>
        </w:rPr>
        <w:tab/>
      </w:r>
      <w:r>
        <w:rPr>
          <w:rFonts w:hint="eastAsia"/>
        </w:rPr>
        <w:t>最低养恤金不付给有关个人，是因为算出的养恤金额通常高于最低养恤金额。</w:t>
      </w:r>
    </w:p>
    <w:p w:rsidR="00000000" w:rsidRDefault="00000000">
      <w:pPr>
        <w:rPr>
          <w:rFonts w:hint="eastAsia"/>
        </w:rPr>
      </w:pPr>
      <w:r>
        <w:rPr>
          <w:rFonts w:hint="eastAsia"/>
        </w:rPr>
        <w:tab/>
      </w:r>
      <w:r>
        <w:rPr>
          <w:rFonts w:hint="eastAsia"/>
        </w:rPr>
        <w:t>以下例子也以每合格年</w:t>
      </w:r>
      <w:r>
        <w:rPr>
          <w:rFonts w:hint="eastAsia"/>
        </w:rPr>
        <w:t>2.7780</w:t>
      </w:r>
      <w:r>
        <w:rPr>
          <w:rFonts w:hint="eastAsia"/>
        </w:rPr>
        <w:t>的假定最优惠平均价值分数为基础。</w:t>
      </w:r>
    </w:p>
    <w:p w:rsidR="00000000" w:rsidRDefault="00000000">
      <w:pPr>
        <w:rPr>
          <w:rFonts w:hint="eastAsia"/>
        </w:rPr>
      </w:pPr>
      <w:r>
        <w:rPr>
          <w:rFonts w:hint="eastAsia"/>
        </w:rPr>
        <w:tab/>
        <w:t xml:space="preserve">2.  </w:t>
      </w:r>
      <w:r>
        <w:rPr>
          <w:rFonts w:hint="eastAsia"/>
          <w:u w:val="single"/>
        </w:rPr>
        <w:t>老年养恤金，女性</w:t>
      </w:r>
      <w:r>
        <w:rPr>
          <w:rFonts w:hint="eastAsia"/>
        </w:rPr>
        <w:t xml:space="preserve">. </w:t>
      </w:r>
      <w:r>
        <w:rPr>
          <w:rFonts w:hint="eastAsia"/>
        </w:rPr>
        <w:t>从</w:t>
      </w:r>
      <w:r>
        <w:rPr>
          <w:rFonts w:hint="eastAsia"/>
        </w:rPr>
        <w:t>1999</w:t>
      </w:r>
      <w:r>
        <w:rPr>
          <w:rFonts w:hint="eastAsia"/>
        </w:rPr>
        <w:t>年</w:t>
      </w:r>
      <w:r>
        <w:rPr>
          <w:rFonts w:hint="eastAsia"/>
        </w:rPr>
        <w:t>1</w:t>
      </w:r>
      <w:r>
        <w:rPr>
          <w:rFonts w:hint="eastAsia"/>
        </w:rPr>
        <w:t>月</w:t>
      </w:r>
      <w:r>
        <w:rPr>
          <w:rFonts w:hint="eastAsia"/>
        </w:rPr>
        <w:t>1</w:t>
      </w:r>
      <w:r>
        <w:rPr>
          <w:rFonts w:hint="eastAsia"/>
        </w:rPr>
        <w:t>日起有权享受，</w:t>
      </w:r>
      <w:r>
        <w:rPr>
          <w:rFonts w:hint="eastAsia"/>
        </w:rPr>
        <w:t>56</w:t>
      </w:r>
      <w:r>
        <w:rPr>
          <w:rFonts w:hint="eastAsia"/>
        </w:rPr>
        <w:t>岁；</w:t>
      </w:r>
      <w:r>
        <w:rPr>
          <w:rFonts w:hint="eastAsia"/>
        </w:rPr>
        <w:t>34</w:t>
      </w:r>
      <w:r>
        <w:rPr>
          <w:rFonts w:hint="eastAsia"/>
        </w:rPr>
        <w:t>年合格期。</w:t>
      </w:r>
      <w:r>
        <w:rPr>
          <w:rFonts w:hint="eastAsia"/>
        </w:rPr>
        <w:t>(</w:t>
      </w:r>
      <w:r>
        <w:rPr>
          <w:rFonts w:hint="eastAsia"/>
        </w:rPr>
        <w:t>过渡期：</w:t>
      </w:r>
      <w:r>
        <w:rPr>
          <w:rFonts w:hint="eastAsia"/>
        </w:rPr>
        <w:t>1999</w:t>
      </w:r>
      <w:r>
        <w:rPr>
          <w:rFonts w:hint="eastAsia"/>
        </w:rPr>
        <w:t>年增加</w:t>
      </w:r>
      <w:r>
        <w:rPr>
          <w:rFonts w:hint="eastAsia"/>
        </w:rPr>
        <w:t>5</w:t>
      </w:r>
      <w:r>
        <w:rPr>
          <w:rFonts w:hint="eastAsia"/>
        </w:rPr>
        <w:t>年保险。</w:t>
      </w:r>
      <w:r>
        <w:rPr>
          <w:rFonts w:hint="eastAsia"/>
        </w:rPr>
        <w:t>)</w:t>
      </w:r>
    </w:p>
    <w:p w:rsidR="00000000" w:rsidRDefault="00000000">
      <w:pPr>
        <w:rPr>
          <w:rFonts w:hint="eastAsia"/>
        </w:rPr>
      </w:pPr>
      <w:r>
        <w:rPr>
          <w:rFonts w:hint="eastAsia"/>
        </w:rPr>
        <w:tab/>
      </w:r>
      <w:r>
        <w:rPr>
          <w:rFonts w:hint="eastAsia"/>
        </w:rPr>
        <w:t>合格期</w:t>
      </w:r>
      <w:r>
        <w:t xml:space="preserve"> </w:t>
      </w:r>
      <w:r>
        <w:rPr>
          <w:rFonts w:hint="eastAsia"/>
        </w:rPr>
        <w:t>=</w:t>
      </w:r>
      <w:r>
        <w:t xml:space="preserve"> </w:t>
      </w:r>
      <w:r>
        <w:rPr>
          <w:rFonts w:hint="eastAsia"/>
        </w:rPr>
        <w:t>实际完成</w:t>
      </w:r>
      <w:r>
        <w:rPr>
          <w:rFonts w:hint="eastAsia"/>
        </w:rPr>
        <w:t>34</w:t>
      </w:r>
      <w:r>
        <w:rPr>
          <w:rFonts w:hint="eastAsia"/>
        </w:rPr>
        <w:t>个合格年</w:t>
      </w:r>
      <w:r>
        <w:rPr>
          <w:rFonts w:hint="eastAsia"/>
        </w:rPr>
        <w:t>+5</w:t>
      </w:r>
      <w:r>
        <w:rPr>
          <w:rFonts w:hint="eastAsia"/>
        </w:rPr>
        <w:t>年增加期</w:t>
      </w:r>
      <w:r>
        <w:rPr>
          <w:rFonts w:hint="eastAsia"/>
        </w:rPr>
        <w:t>(</w:t>
      </w:r>
      <w:r>
        <w:rPr>
          <w:rFonts w:hint="eastAsia"/>
        </w:rPr>
        <w:t>最高达</w:t>
      </w:r>
      <w:r>
        <w:rPr>
          <w:rFonts w:hint="eastAsia"/>
        </w:rPr>
        <w:t>40</w:t>
      </w:r>
      <w:r>
        <w:rPr>
          <w:rFonts w:hint="eastAsia"/>
        </w:rPr>
        <w:t>个合格年</w:t>
      </w:r>
      <w:r>
        <w:rPr>
          <w:rFonts w:hint="eastAsia"/>
        </w:rPr>
        <w:t>) = 39</w:t>
      </w:r>
      <w:r>
        <w:rPr>
          <w:rFonts w:hint="eastAsia"/>
        </w:rPr>
        <w:t>年。</w:t>
      </w:r>
    </w:p>
    <w:p w:rsidR="00000000" w:rsidRDefault="00000000">
      <w:pPr>
        <w:rPr>
          <w:rFonts w:hint="eastAsia"/>
        </w:rPr>
      </w:pPr>
      <w:r>
        <w:rPr>
          <w:rFonts w:hint="eastAsia"/>
        </w:rPr>
        <w:tab/>
      </w:r>
      <w:r>
        <w:rPr>
          <w:rFonts w:hint="eastAsia"/>
        </w:rPr>
        <w:t>个人分数</w:t>
      </w:r>
      <w:r>
        <w:rPr>
          <w:rFonts w:hint="eastAsia"/>
        </w:rPr>
        <w:t xml:space="preserve"> = 39</w:t>
      </w:r>
      <w:r>
        <w:rPr>
          <w:rFonts w:hint="eastAsia"/>
        </w:rPr>
        <w:sym w:font="Symbol" w:char="F0B4"/>
      </w:r>
      <w:r>
        <w:rPr>
          <w:rFonts w:hint="eastAsia"/>
        </w:rPr>
        <w:t>2.7780</w:t>
      </w:r>
      <w:r>
        <w:rPr>
          <w:rFonts w:hint="eastAsia"/>
        </w:rPr>
        <w:sym w:font="Symbol" w:char="F0B4"/>
      </w:r>
      <w:r>
        <w:rPr>
          <w:rFonts w:hint="eastAsia"/>
        </w:rPr>
        <w:t>1 = 108.342</w:t>
      </w:r>
      <w:r>
        <w:rPr>
          <w:rFonts w:hint="eastAsia"/>
        </w:rPr>
        <w:t>。</w:t>
      </w:r>
    </w:p>
    <w:p w:rsidR="00000000" w:rsidRDefault="00000000">
      <w:pPr>
        <w:rPr>
          <w:rFonts w:hint="eastAsia"/>
        </w:rPr>
      </w:pPr>
      <w:r>
        <w:rPr>
          <w:rFonts w:hint="eastAsia"/>
        </w:rPr>
        <w:tab/>
        <w:t>99</w:t>
      </w:r>
      <w:r>
        <w:rPr>
          <w:rFonts w:hint="eastAsia"/>
        </w:rPr>
        <w:t>年</w:t>
      </w:r>
      <w:r>
        <w:rPr>
          <w:rFonts w:hint="eastAsia"/>
        </w:rPr>
        <w:t>1</w:t>
      </w:r>
      <w:r>
        <w:rPr>
          <w:rFonts w:hint="eastAsia"/>
        </w:rPr>
        <w:t>月</w:t>
      </w:r>
      <w:r>
        <w:rPr>
          <w:rFonts w:hint="eastAsia"/>
        </w:rPr>
        <w:t>1</w:t>
      </w:r>
      <w:r>
        <w:rPr>
          <w:rFonts w:hint="eastAsia"/>
        </w:rPr>
        <w:t>日的养恤金</w:t>
      </w:r>
      <w:r>
        <w:rPr>
          <w:rFonts w:hint="eastAsia"/>
        </w:rPr>
        <w:t xml:space="preserve"> = 108.342</w:t>
      </w:r>
      <w:r>
        <w:rPr>
          <w:rFonts w:hint="eastAsia"/>
        </w:rPr>
        <w:sym w:font="Symbol" w:char="F0B4"/>
      </w:r>
      <w:r>
        <w:rPr>
          <w:rFonts w:hint="eastAsia"/>
        </w:rPr>
        <w:t>1</w:t>
      </w:r>
      <w:r>
        <w:rPr>
          <w:rFonts w:hint="eastAsia"/>
        </w:rPr>
        <w:sym w:font="Symbol" w:char="F0B4"/>
      </w:r>
      <w:r>
        <w:rPr>
          <w:rFonts w:hint="eastAsia"/>
        </w:rPr>
        <w:t>35.16(99</w:t>
      </w:r>
      <w:r>
        <w:rPr>
          <w:rFonts w:hint="eastAsia"/>
        </w:rPr>
        <w:t>年</w:t>
      </w:r>
      <w:r>
        <w:rPr>
          <w:rFonts w:hint="eastAsia"/>
        </w:rPr>
        <w:t>1</w:t>
      </w:r>
      <w:r>
        <w:rPr>
          <w:rFonts w:hint="eastAsia"/>
        </w:rPr>
        <w:t>月</w:t>
      </w:r>
      <w:r>
        <w:rPr>
          <w:rFonts w:hint="eastAsia"/>
        </w:rPr>
        <w:t>1</w:t>
      </w:r>
      <w:r>
        <w:rPr>
          <w:rFonts w:hint="eastAsia"/>
        </w:rPr>
        <w:t>日的平均价值分数</w:t>
      </w:r>
      <w:r>
        <w:rPr>
          <w:rFonts w:hint="eastAsia"/>
        </w:rPr>
        <w:t>) = 3,809.30</w:t>
      </w:r>
      <w:r>
        <w:rPr>
          <w:rFonts w:hint="eastAsia"/>
        </w:rPr>
        <w:t>库纳。</w:t>
      </w:r>
    </w:p>
    <w:p w:rsidR="00000000" w:rsidRDefault="00000000">
      <w:pPr>
        <w:rPr>
          <w:rFonts w:hint="eastAsia"/>
        </w:rPr>
      </w:pPr>
      <w:r>
        <w:rPr>
          <w:rFonts w:hint="eastAsia"/>
        </w:rPr>
        <w:tab/>
        <w:t>99</w:t>
      </w:r>
      <w:r>
        <w:rPr>
          <w:rFonts w:hint="eastAsia"/>
        </w:rPr>
        <w:t>年</w:t>
      </w:r>
      <w:r>
        <w:rPr>
          <w:rFonts w:hint="eastAsia"/>
        </w:rPr>
        <w:t>7</w:t>
      </w:r>
      <w:r>
        <w:rPr>
          <w:rFonts w:hint="eastAsia"/>
        </w:rPr>
        <w:t>月</w:t>
      </w:r>
      <w:r>
        <w:rPr>
          <w:rFonts w:hint="eastAsia"/>
        </w:rPr>
        <w:t>1</w:t>
      </w:r>
      <w:r>
        <w:rPr>
          <w:rFonts w:hint="eastAsia"/>
        </w:rPr>
        <w:t>日的养恤金</w:t>
      </w:r>
      <w:r>
        <w:rPr>
          <w:rFonts w:hint="eastAsia"/>
        </w:rPr>
        <w:t>(</w:t>
      </w:r>
      <w:r>
        <w:rPr>
          <w:rFonts w:hint="eastAsia"/>
        </w:rPr>
        <w:t>指数化</w:t>
      </w:r>
      <w:r>
        <w:rPr>
          <w:rFonts w:hint="eastAsia"/>
        </w:rPr>
        <w:t>) = 108.342</w:t>
      </w:r>
      <w:r>
        <w:rPr>
          <w:rFonts w:hint="eastAsia"/>
        </w:rPr>
        <w:sym w:font="Symbol" w:char="F0B4"/>
      </w:r>
      <w:r>
        <w:rPr>
          <w:rFonts w:hint="eastAsia"/>
        </w:rPr>
        <w:t>1</w:t>
      </w:r>
      <w:r>
        <w:rPr>
          <w:rFonts w:hint="eastAsia"/>
        </w:rPr>
        <w:sym w:font="Symbol" w:char="F0B4"/>
      </w:r>
      <w:r>
        <w:rPr>
          <w:rFonts w:hint="eastAsia"/>
        </w:rPr>
        <w:t>36.51(99</w:t>
      </w:r>
      <w:r>
        <w:rPr>
          <w:rFonts w:hint="eastAsia"/>
        </w:rPr>
        <w:t>年</w:t>
      </w:r>
      <w:r>
        <w:rPr>
          <w:rFonts w:hint="eastAsia"/>
        </w:rPr>
        <w:t>7</w:t>
      </w:r>
      <w:r>
        <w:rPr>
          <w:rFonts w:hint="eastAsia"/>
        </w:rPr>
        <w:t>月</w:t>
      </w:r>
      <w:r>
        <w:rPr>
          <w:rFonts w:hint="eastAsia"/>
        </w:rPr>
        <w:t>1</w:t>
      </w:r>
      <w:r>
        <w:rPr>
          <w:rFonts w:hint="eastAsia"/>
        </w:rPr>
        <w:t>日的平均价值分数</w:t>
      </w:r>
      <w:r>
        <w:rPr>
          <w:rFonts w:hint="eastAsia"/>
        </w:rPr>
        <w:t xml:space="preserve">) = </w:t>
      </w:r>
      <w:r>
        <w:rPr>
          <w:rFonts w:hint="eastAsia"/>
          <w:u w:val="single"/>
        </w:rPr>
        <w:t>3,955.57</w:t>
      </w:r>
      <w:r>
        <w:rPr>
          <w:rFonts w:hint="eastAsia"/>
        </w:rPr>
        <w:t>库纳。</w:t>
      </w:r>
    </w:p>
    <w:p w:rsidR="00000000" w:rsidRDefault="00000000">
      <w:pPr>
        <w:rPr>
          <w:rFonts w:hint="eastAsia"/>
        </w:rPr>
      </w:pPr>
      <w:r>
        <w:rPr>
          <w:rFonts w:hint="eastAsia"/>
        </w:rPr>
        <w:tab/>
        <w:t xml:space="preserve">3.  </w:t>
      </w:r>
      <w:r>
        <w:rPr>
          <w:rFonts w:hint="eastAsia"/>
          <w:u w:val="single"/>
        </w:rPr>
        <w:t>预付养恤金，男性</w:t>
      </w:r>
      <w:r>
        <w:rPr>
          <w:rFonts w:hint="eastAsia"/>
        </w:rPr>
        <w:t>. 1999</w:t>
      </w:r>
      <w:r>
        <w:rPr>
          <w:rFonts w:hint="eastAsia"/>
        </w:rPr>
        <w:t>年</w:t>
      </w:r>
      <w:r>
        <w:rPr>
          <w:rFonts w:hint="eastAsia"/>
        </w:rPr>
        <w:t>1</w:t>
      </w:r>
      <w:r>
        <w:rPr>
          <w:rFonts w:hint="eastAsia"/>
        </w:rPr>
        <w:t>月</w:t>
      </w:r>
      <w:r>
        <w:rPr>
          <w:rFonts w:hint="eastAsia"/>
        </w:rPr>
        <w:t>1</w:t>
      </w:r>
      <w:r>
        <w:rPr>
          <w:rFonts w:hint="eastAsia"/>
        </w:rPr>
        <w:t>日起有权享受，</w:t>
      </w:r>
      <w:r>
        <w:rPr>
          <w:rFonts w:hint="eastAsia"/>
        </w:rPr>
        <w:t>58</w:t>
      </w:r>
      <w:r>
        <w:rPr>
          <w:rFonts w:hint="eastAsia"/>
        </w:rPr>
        <w:t>岁；</w:t>
      </w:r>
      <w:r>
        <w:rPr>
          <w:rFonts w:hint="eastAsia"/>
        </w:rPr>
        <w:t>38</w:t>
      </w:r>
      <w:r>
        <w:rPr>
          <w:rFonts w:hint="eastAsia"/>
        </w:rPr>
        <w:t>年合格期。</w:t>
      </w:r>
      <w:r>
        <w:rPr>
          <w:rFonts w:hint="eastAsia"/>
        </w:rPr>
        <w:t>(</w:t>
      </w:r>
      <w:r>
        <w:rPr>
          <w:rFonts w:hint="eastAsia"/>
        </w:rPr>
        <w:t>过渡期，男性：</w:t>
      </w:r>
      <w:r>
        <w:rPr>
          <w:rFonts w:hint="eastAsia"/>
        </w:rPr>
        <w:t>1999</w:t>
      </w:r>
      <w:r>
        <w:rPr>
          <w:rFonts w:hint="eastAsia"/>
        </w:rPr>
        <w:t>年，享受预付养恤金的要求是</w:t>
      </w:r>
      <w:r>
        <w:rPr>
          <w:rFonts w:hint="eastAsia"/>
        </w:rPr>
        <w:t>55</w:t>
      </w:r>
      <w:r>
        <w:rPr>
          <w:rFonts w:hint="eastAsia"/>
        </w:rPr>
        <w:t>岁</w:t>
      </w:r>
      <w:r>
        <w:rPr>
          <w:rFonts w:hint="eastAsia"/>
        </w:rPr>
        <w:t>6</w:t>
      </w:r>
      <w:r>
        <w:rPr>
          <w:rFonts w:hint="eastAsia"/>
        </w:rPr>
        <w:t>个月，享受老年养恤金的要求是</w:t>
      </w:r>
      <w:r>
        <w:rPr>
          <w:rFonts w:hint="eastAsia"/>
        </w:rPr>
        <w:t>60</w:t>
      </w:r>
      <w:r>
        <w:rPr>
          <w:rFonts w:hint="eastAsia"/>
        </w:rPr>
        <w:t>岁</w:t>
      </w:r>
      <w:r>
        <w:rPr>
          <w:rFonts w:hint="eastAsia"/>
        </w:rPr>
        <w:t>6</w:t>
      </w:r>
      <w:r>
        <w:rPr>
          <w:rFonts w:hint="eastAsia"/>
        </w:rPr>
        <w:t>个月；结果是，预付</w:t>
      </w:r>
      <w:r>
        <w:rPr>
          <w:rFonts w:hint="eastAsia"/>
        </w:rPr>
        <w:t>30</w:t>
      </w:r>
      <w:r>
        <w:rPr>
          <w:rFonts w:hint="eastAsia"/>
        </w:rPr>
        <w:t>个月</w:t>
      </w:r>
      <w:r>
        <w:rPr>
          <w:rFonts w:hint="eastAsia"/>
          <w:spacing w:val="-40"/>
          <w:sz w:val="22"/>
        </w:rPr>
        <w:t>——</w:t>
      </w:r>
      <w:r>
        <w:rPr>
          <w:sz w:val="22"/>
        </w:rPr>
        <w:t xml:space="preserve"> </w:t>
      </w:r>
      <w:r>
        <w:rPr>
          <w:rFonts w:hint="eastAsia"/>
        </w:rPr>
        <w:t>初始系数</w:t>
      </w:r>
      <w:r>
        <w:rPr>
          <w:rFonts w:hint="eastAsia"/>
          <w:spacing w:val="-40"/>
          <w:sz w:val="22"/>
        </w:rPr>
        <w:t>——</w:t>
      </w:r>
      <w:r>
        <w:rPr>
          <w:sz w:val="22"/>
        </w:rPr>
        <w:t xml:space="preserve"> </w:t>
      </w:r>
      <w:r>
        <w:rPr>
          <w:rFonts w:hint="eastAsia"/>
        </w:rPr>
        <w:t>对所有其它种类的养恤金订为</w:t>
      </w:r>
      <w:r>
        <w:rPr>
          <w:rFonts w:hint="eastAsia"/>
        </w:rPr>
        <w:t>1</w:t>
      </w:r>
      <w:r>
        <w:rPr>
          <w:rFonts w:hint="eastAsia"/>
          <w:spacing w:val="-40"/>
          <w:sz w:val="22"/>
        </w:rPr>
        <w:t>——</w:t>
      </w:r>
      <w:r>
        <w:rPr>
          <w:sz w:val="22"/>
        </w:rPr>
        <w:t xml:space="preserve"> </w:t>
      </w:r>
      <w:r>
        <w:rPr>
          <w:rFonts w:hint="eastAsia"/>
        </w:rPr>
        <w:t>将减少</w:t>
      </w:r>
      <w:r>
        <w:rPr>
          <w:rFonts w:hint="eastAsia"/>
        </w:rPr>
        <w:t>0.3%</w:t>
      </w:r>
      <w:r>
        <w:rPr>
          <w:rFonts w:hint="eastAsia"/>
        </w:rPr>
        <w:t>，即每月</w:t>
      </w:r>
      <w:r>
        <w:rPr>
          <w:rFonts w:hint="eastAsia"/>
        </w:rPr>
        <w:t>0.003</w:t>
      </w:r>
      <w:r>
        <w:rPr>
          <w:rFonts w:hint="eastAsia"/>
        </w:rPr>
        <w:t>。</w:t>
      </w:r>
    </w:p>
    <w:p w:rsidR="00000000" w:rsidRDefault="00000000">
      <w:pPr>
        <w:rPr>
          <w:rFonts w:hint="eastAsia"/>
        </w:rPr>
      </w:pPr>
      <w:r>
        <w:rPr>
          <w:rFonts w:hint="eastAsia"/>
        </w:rPr>
        <w:tab/>
      </w:r>
      <w:r>
        <w:rPr>
          <w:rFonts w:hint="eastAsia"/>
        </w:rPr>
        <w:t>初始系数</w:t>
      </w:r>
      <w:r>
        <w:rPr>
          <w:rFonts w:hint="eastAsia"/>
        </w:rPr>
        <w:t xml:space="preserve"> = 1-(0.003</w:t>
      </w:r>
      <w:r>
        <w:rPr>
          <w:rFonts w:hint="eastAsia"/>
        </w:rPr>
        <w:sym w:font="Symbol" w:char="F0B4"/>
      </w:r>
      <w:r>
        <w:rPr>
          <w:rFonts w:hint="eastAsia"/>
        </w:rPr>
        <w:t>30) = 1-0.09 = 0.91</w:t>
      </w:r>
      <w:r>
        <w:rPr>
          <w:rFonts w:hint="eastAsia"/>
        </w:rPr>
        <w:t>。</w:t>
      </w:r>
    </w:p>
    <w:p w:rsidR="00000000" w:rsidRDefault="00000000">
      <w:pPr>
        <w:rPr>
          <w:rFonts w:hint="eastAsia"/>
        </w:rPr>
      </w:pPr>
      <w:r>
        <w:rPr>
          <w:rFonts w:hint="eastAsia"/>
        </w:rPr>
        <w:tab/>
      </w:r>
      <w:r>
        <w:rPr>
          <w:rFonts w:hint="eastAsia"/>
        </w:rPr>
        <w:t>个人分数</w:t>
      </w:r>
      <w:r>
        <w:rPr>
          <w:rFonts w:hint="eastAsia"/>
        </w:rPr>
        <w:t xml:space="preserve"> = 38</w:t>
      </w:r>
      <w:r>
        <w:rPr>
          <w:rFonts w:hint="eastAsia"/>
        </w:rPr>
        <w:sym w:font="Symbol" w:char="F0B4"/>
      </w:r>
      <w:r>
        <w:rPr>
          <w:rFonts w:hint="eastAsia"/>
        </w:rPr>
        <w:t>2.7780</w:t>
      </w:r>
      <w:r>
        <w:rPr>
          <w:rFonts w:hint="eastAsia"/>
        </w:rPr>
        <w:sym w:font="Symbol" w:char="F0B4"/>
      </w:r>
      <w:r>
        <w:rPr>
          <w:rFonts w:hint="eastAsia"/>
        </w:rPr>
        <w:t>0.91 = 96.0632</w:t>
      </w:r>
      <w:r>
        <w:rPr>
          <w:rFonts w:hint="eastAsia"/>
        </w:rPr>
        <w:t>。</w:t>
      </w:r>
    </w:p>
    <w:p w:rsidR="00000000" w:rsidRDefault="00000000">
      <w:pPr>
        <w:rPr>
          <w:rFonts w:hint="eastAsia"/>
        </w:rPr>
      </w:pPr>
      <w:r>
        <w:rPr>
          <w:rFonts w:hint="eastAsia"/>
        </w:rPr>
        <w:tab/>
        <w:t>99</w:t>
      </w:r>
      <w:r>
        <w:rPr>
          <w:rFonts w:hint="eastAsia"/>
        </w:rPr>
        <w:t>年</w:t>
      </w:r>
      <w:r>
        <w:rPr>
          <w:rFonts w:hint="eastAsia"/>
        </w:rPr>
        <w:t>1</w:t>
      </w:r>
      <w:r>
        <w:rPr>
          <w:rFonts w:hint="eastAsia"/>
        </w:rPr>
        <w:t>月</w:t>
      </w:r>
      <w:r>
        <w:rPr>
          <w:rFonts w:hint="eastAsia"/>
        </w:rPr>
        <w:t>1</w:t>
      </w:r>
      <w:r>
        <w:rPr>
          <w:rFonts w:hint="eastAsia"/>
        </w:rPr>
        <w:t>日的养恤金</w:t>
      </w:r>
      <w:r>
        <w:rPr>
          <w:rFonts w:hint="eastAsia"/>
        </w:rPr>
        <w:t xml:space="preserve"> = 96.0632</w:t>
      </w:r>
      <w:r>
        <w:rPr>
          <w:rFonts w:hint="eastAsia"/>
        </w:rPr>
        <w:sym w:font="Symbol" w:char="F0B4"/>
      </w:r>
      <w:r>
        <w:rPr>
          <w:rFonts w:hint="eastAsia"/>
        </w:rPr>
        <w:t>1</w:t>
      </w:r>
      <w:r>
        <w:rPr>
          <w:rFonts w:hint="eastAsia"/>
        </w:rPr>
        <w:sym w:font="Symbol" w:char="F0B4"/>
      </w:r>
      <w:r>
        <w:rPr>
          <w:rFonts w:hint="eastAsia"/>
        </w:rPr>
        <w:t>35.16(99</w:t>
      </w:r>
      <w:r>
        <w:rPr>
          <w:rFonts w:hint="eastAsia"/>
        </w:rPr>
        <w:t>年</w:t>
      </w:r>
      <w:r>
        <w:rPr>
          <w:rFonts w:hint="eastAsia"/>
        </w:rPr>
        <w:t>1</w:t>
      </w:r>
      <w:r>
        <w:rPr>
          <w:rFonts w:hint="eastAsia"/>
        </w:rPr>
        <w:t>月</w:t>
      </w:r>
      <w:r>
        <w:rPr>
          <w:rFonts w:hint="eastAsia"/>
        </w:rPr>
        <w:t>1</w:t>
      </w:r>
      <w:r>
        <w:rPr>
          <w:rFonts w:hint="eastAsia"/>
        </w:rPr>
        <w:t>日的平均价值分数</w:t>
      </w:r>
      <w:r>
        <w:rPr>
          <w:rFonts w:hint="eastAsia"/>
        </w:rPr>
        <w:t xml:space="preserve">) = </w:t>
      </w:r>
      <w:r>
        <w:rPr>
          <w:rFonts w:hint="eastAsia"/>
          <w:u w:val="single"/>
        </w:rPr>
        <w:t>3,377.58</w:t>
      </w:r>
      <w:r>
        <w:rPr>
          <w:rFonts w:hint="eastAsia"/>
        </w:rPr>
        <w:t>库纳</w:t>
      </w:r>
    </w:p>
    <w:p w:rsidR="00000000" w:rsidRDefault="00000000">
      <w:r>
        <w:rPr>
          <w:rFonts w:hint="eastAsia"/>
        </w:rPr>
        <w:tab/>
        <w:t>99</w:t>
      </w:r>
      <w:r>
        <w:rPr>
          <w:rFonts w:hint="eastAsia"/>
        </w:rPr>
        <w:t>年</w:t>
      </w:r>
      <w:r>
        <w:rPr>
          <w:rFonts w:hint="eastAsia"/>
        </w:rPr>
        <w:t>7</w:t>
      </w:r>
      <w:r>
        <w:rPr>
          <w:rFonts w:hint="eastAsia"/>
        </w:rPr>
        <w:t>月</w:t>
      </w:r>
      <w:r>
        <w:rPr>
          <w:rFonts w:hint="eastAsia"/>
        </w:rPr>
        <w:t>1</w:t>
      </w:r>
      <w:r>
        <w:rPr>
          <w:rFonts w:hint="eastAsia"/>
        </w:rPr>
        <w:t>日的养恤金</w:t>
      </w:r>
      <w:r>
        <w:rPr>
          <w:rFonts w:hint="eastAsia"/>
        </w:rPr>
        <w:t>(</w:t>
      </w:r>
      <w:r>
        <w:rPr>
          <w:rFonts w:hint="eastAsia"/>
        </w:rPr>
        <w:t>指数化</w:t>
      </w:r>
      <w:r>
        <w:rPr>
          <w:rFonts w:hint="eastAsia"/>
        </w:rPr>
        <w:t>) = 96.0632</w:t>
      </w:r>
      <w:r>
        <w:rPr>
          <w:rFonts w:hint="eastAsia"/>
        </w:rPr>
        <w:sym w:font="Symbol" w:char="F0B4"/>
      </w:r>
      <w:r>
        <w:rPr>
          <w:rFonts w:hint="eastAsia"/>
        </w:rPr>
        <w:t>1</w:t>
      </w:r>
      <w:r>
        <w:rPr>
          <w:rFonts w:hint="eastAsia"/>
        </w:rPr>
        <w:sym w:font="Symbol" w:char="F0B4"/>
      </w:r>
      <w:r>
        <w:rPr>
          <w:rFonts w:hint="eastAsia"/>
        </w:rPr>
        <w:t>36.51(99</w:t>
      </w:r>
      <w:r>
        <w:rPr>
          <w:rFonts w:hint="eastAsia"/>
        </w:rPr>
        <w:t>年</w:t>
      </w:r>
      <w:r>
        <w:rPr>
          <w:rFonts w:hint="eastAsia"/>
        </w:rPr>
        <w:t>7</w:t>
      </w:r>
      <w:r>
        <w:rPr>
          <w:rFonts w:hint="eastAsia"/>
        </w:rPr>
        <w:t>月</w:t>
      </w:r>
      <w:r>
        <w:rPr>
          <w:rFonts w:hint="eastAsia"/>
        </w:rPr>
        <w:t>1</w:t>
      </w:r>
      <w:r>
        <w:rPr>
          <w:rFonts w:hint="eastAsia"/>
        </w:rPr>
        <w:t>日的平均价值分数</w:t>
      </w:r>
      <w:r>
        <w:rPr>
          <w:rFonts w:hint="eastAsia"/>
        </w:rPr>
        <w:t>) = 3,507.26</w:t>
      </w:r>
      <w:r>
        <w:rPr>
          <w:rFonts w:hint="eastAsia"/>
        </w:rPr>
        <w:t>库纳。</w:t>
      </w:r>
    </w:p>
    <w:p w:rsidR="00000000" w:rsidRDefault="00000000">
      <w:pPr>
        <w:rPr>
          <w:rFonts w:hint="eastAsia"/>
        </w:rPr>
      </w:pPr>
      <w:r>
        <w:br w:type="page"/>
      </w:r>
      <w:r>
        <w:rPr>
          <w:rFonts w:hint="eastAsia"/>
        </w:rPr>
        <w:tab/>
        <w:t xml:space="preserve">4.  </w:t>
      </w:r>
      <w:r>
        <w:rPr>
          <w:rFonts w:hint="eastAsia"/>
          <w:u w:val="single"/>
        </w:rPr>
        <w:t>残疾养恤金，男女要求相同</w:t>
      </w:r>
      <w:r>
        <w:rPr>
          <w:rFonts w:hint="eastAsia"/>
        </w:rPr>
        <w:t>.</w:t>
      </w:r>
    </w:p>
    <w:p w:rsidR="00000000" w:rsidRDefault="00000000">
      <w:pPr>
        <w:rPr>
          <w:rFonts w:hint="eastAsia"/>
        </w:rPr>
      </w:pPr>
      <w:r>
        <w:rPr>
          <w:rFonts w:hint="eastAsia"/>
        </w:rPr>
        <w:tab/>
      </w:r>
      <w:r>
        <w:rPr>
          <w:rFonts w:hint="eastAsia"/>
        </w:rPr>
        <w:t>出生日期：</w:t>
      </w:r>
      <w:r>
        <w:rPr>
          <w:rFonts w:hint="eastAsia"/>
        </w:rPr>
        <w:t>1951</w:t>
      </w:r>
      <w:r>
        <w:rPr>
          <w:rFonts w:hint="eastAsia"/>
        </w:rPr>
        <w:t>年</w:t>
      </w:r>
      <w:r>
        <w:rPr>
          <w:rFonts w:hint="eastAsia"/>
        </w:rPr>
        <w:t>3</w:t>
      </w:r>
      <w:r>
        <w:rPr>
          <w:rFonts w:hint="eastAsia"/>
        </w:rPr>
        <w:t>月</w:t>
      </w:r>
      <w:r>
        <w:rPr>
          <w:rFonts w:hint="eastAsia"/>
        </w:rPr>
        <w:t>20</w:t>
      </w:r>
      <w:r>
        <w:rPr>
          <w:rFonts w:hint="eastAsia"/>
        </w:rPr>
        <w:t>日，合格期：</w:t>
      </w:r>
      <w:r>
        <w:rPr>
          <w:rFonts w:hint="eastAsia"/>
        </w:rPr>
        <w:t>29</w:t>
      </w:r>
      <w:r>
        <w:rPr>
          <w:rFonts w:hint="eastAsia"/>
        </w:rPr>
        <w:t>年</w:t>
      </w:r>
      <w:r>
        <w:rPr>
          <w:rFonts w:hint="eastAsia"/>
        </w:rPr>
        <w:t>1</w:t>
      </w:r>
      <w:r>
        <w:rPr>
          <w:rFonts w:hint="eastAsia"/>
        </w:rPr>
        <w:t>个月</w:t>
      </w:r>
      <w:r>
        <w:rPr>
          <w:rFonts w:hint="eastAsia"/>
        </w:rPr>
        <w:t>19</w:t>
      </w:r>
      <w:r>
        <w:rPr>
          <w:rFonts w:hint="eastAsia"/>
        </w:rPr>
        <w:t>天。残疾日期：</w:t>
      </w:r>
      <w:r>
        <w:rPr>
          <w:rFonts w:hint="eastAsia"/>
        </w:rPr>
        <w:t>1999</w:t>
      </w:r>
      <w:r>
        <w:rPr>
          <w:rFonts w:hint="eastAsia"/>
        </w:rPr>
        <w:t>年</w:t>
      </w:r>
      <w:r>
        <w:rPr>
          <w:rFonts w:hint="eastAsia"/>
        </w:rPr>
        <w:t>1</w:t>
      </w:r>
      <w:r>
        <w:rPr>
          <w:rFonts w:hint="eastAsia"/>
        </w:rPr>
        <w:t>月</w:t>
      </w:r>
      <w:r>
        <w:rPr>
          <w:rFonts w:hint="eastAsia"/>
        </w:rPr>
        <w:t>5</w:t>
      </w:r>
      <w:r>
        <w:rPr>
          <w:rFonts w:hint="eastAsia"/>
        </w:rPr>
        <w:t>日。工作寿命期从</w:t>
      </w:r>
      <w:r>
        <w:rPr>
          <w:rFonts w:hint="eastAsia"/>
        </w:rPr>
        <w:t>20</w:t>
      </w:r>
      <w:r>
        <w:rPr>
          <w:rFonts w:hint="eastAsia"/>
        </w:rPr>
        <w:t>岁起计</w:t>
      </w:r>
      <w:r>
        <w:rPr>
          <w:rFonts w:hint="eastAsia"/>
        </w:rPr>
        <w:t>(</w:t>
      </w:r>
      <w:r>
        <w:rPr>
          <w:rFonts w:hint="eastAsia"/>
        </w:rPr>
        <w:t>全年</w:t>
      </w:r>
      <w:r>
        <w:rPr>
          <w:rFonts w:hint="eastAsia"/>
        </w:rPr>
        <w:t>)</w:t>
      </w:r>
      <w:r>
        <w:rPr>
          <w:rFonts w:hint="eastAsia"/>
        </w:rPr>
        <w:t>。</w:t>
      </w:r>
    </w:p>
    <w:p w:rsidR="00000000" w:rsidRDefault="00000000">
      <w:pPr>
        <w:spacing w:after="240"/>
        <w:rPr>
          <w:rFonts w:hint="eastAsia"/>
        </w:rPr>
      </w:pPr>
      <w:r>
        <w:rPr>
          <w:rFonts w:hint="eastAsia"/>
        </w:rPr>
        <w:tab/>
      </w:r>
      <w:r>
        <w:rPr>
          <w:rFonts w:hint="eastAsia"/>
        </w:rPr>
        <w:t>在残疾之日，被保险人年满</w:t>
      </w:r>
      <w:r>
        <w:rPr>
          <w:rFonts w:hint="eastAsia"/>
        </w:rPr>
        <w:t>47</w:t>
      </w:r>
      <w:r>
        <w:rPr>
          <w:rFonts w:hint="eastAsia"/>
        </w:rPr>
        <w:t>岁</w:t>
      </w:r>
      <w:r>
        <w:rPr>
          <w:rFonts w:hint="eastAsia"/>
        </w:rPr>
        <w:t>9</w:t>
      </w:r>
      <w:r>
        <w:rPr>
          <w:rFonts w:hint="eastAsia"/>
        </w:rPr>
        <w:t>个月</w:t>
      </w:r>
      <w:r>
        <w:rPr>
          <w:rFonts w:hint="eastAsia"/>
        </w:rPr>
        <w:t>15</w:t>
      </w:r>
      <w:r>
        <w:rPr>
          <w:rFonts w:hint="eastAsia"/>
        </w:rPr>
        <w:t>天，因此工作寿命期算为</w:t>
      </w:r>
      <w:r>
        <w:rPr>
          <w:rFonts w:hint="eastAsia"/>
        </w:rPr>
        <w:t>27</w:t>
      </w:r>
      <w:r>
        <w:rPr>
          <w:rFonts w:hint="eastAsia"/>
        </w:rPr>
        <w:t>年。由于有关的人完成了</w:t>
      </w:r>
      <w:r>
        <w:rPr>
          <w:rFonts w:hint="eastAsia"/>
        </w:rPr>
        <w:t>29</w:t>
      </w:r>
      <w:r>
        <w:rPr>
          <w:rFonts w:hint="eastAsia"/>
        </w:rPr>
        <w:t>年的合格期，因此合格期所含的工作寿命</w:t>
      </w:r>
      <w:r>
        <w:rPr>
          <w:rFonts w:hint="eastAsia"/>
        </w:rPr>
        <w:t>1/3</w:t>
      </w:r>
      <w:r>
        <w:rPr>
          <w:rFonts w:hint="eastAsia"/>
        </w:rPr>
        <w:t>的要求已达到</w:t>
      </w:r>
      <w:r>
        <w:rPr>
          <w:rFonts w:hint="eastAsia"/>
        </w:rPr>
        <w:t>(1/3</w:t>
      </w:r>
      <w:r>
        <w:rPr>
          <w:rFonts w:hint="eastAsia"/>
        </w:rPr>
        <w:t>已足够，即</w:t>
      </w:r>
      <w:r>
        <w:rPr>
          <w:rFonts w:hint="eastAsia"/>
        </w:rPr>
        <w:t>27</w:t>
      </w:r>
      <w:r>
        <w:rPr>
          <w:rFonts w:hint="eastAsia"/>
        </w:rPr>
        <w:t>：</w:t>
      </w:r>
      <w:r>
        <w:rPr>
          <w:rFonts w:hint="eastAsia"/>
        </w:rPr>
        <w:t>3 = 9</w:t>
      </w:r>
      <w:r>
        <w:rPr>
          <w:rFonts w:hint="eastAsia"/>
        </w:rPr>
        <w:t>年</w:t>
      </w:r>
      <w:r>
        <w:rPr>
          <w:rFonts w:hint="eastAsia"/>
        </w:rPr>
        <w:t>)</w:t>
      </w:r>
      <w:r>
        <w:rPr>
          <w:rFonts w:hint="eastAsia"/>
        </w:rPr>
        <w:t>。增加期：从事件发生日年龄到假设的</w:t>
      </w:r>
      <w:r>
        <w:rPr>
          <w:rFonts w:hint="eastAsia"/>
        </w:rPr>
        <w:t>55</w:t>
      </w:r>
      <w:r>
        <w:rPr>
          <w:rFonts w:hint="eastAsia"/>
        </w:rPr>
        <w:t>岁</w:t>
      </w:r>
      <w:r>
        <w:rPr>
          <w:rFonts w:hint="eastAsia"/>
          <w:spacing w:val="-40"/>
          <w:sz w:val="22"/>
        </w:rPr>
        <w:t>——</w:t>
      </w:r>
      <w:r>
        <w:rPr>
          <w:sz w:val="22"/>
        </w:rPr>
        <w:t xml:space="preserve"> </w:t>
      </w:r>
      <w:r>
        <w:rPr>
          <w:rFonts w:hint="eastAsia"/>
        </w:rPr>
        <w:t>增加</w:t>
      </w:r>
      <w:r>
        <w:rPr>
          <w:rFonts w:hint="eastAsia"/>
        </w:rPr>
        <w:t>2/3</w:t>
      </w:r>
      <w:r>
        <w:rPr>
          <w:rFonts w:hint="eastAsia"/>
        </w:rPr>
        <w:t>的合格期，从假设的</w:t>
      </w:r>
      <w:r>
        <w:rPr>
          <w:rFonts w:hint="eastAsia"/>
        </w:rPr>
        <w:t>55</w:t>
      </w:r>
      <w:r>
        <w:rPr>
          <w:rFonts w:hint="eastAsia"/>
        </w:rPr>
        <w:t>岁到假设的</w:t>
      </w:r>
      <w:r>
        <w:rPr>
          <w:rFonts w:hint="eastAsia"/>
        </w:rPr>
        <w:t>60</w:t>
      </w:r>
      <w:r>
        <w:rPr>
          <w:rFonts w:hint="eastAsia"/>
        </w:rPr>
        <w:t>岁</w:t>
      </w:r>
      <w:r>
        <w:rPr>
          <w:rFonts w:hint="eastAsia"/>
          <w:spacing w:val="-40"/>
          <w:sz w:val="22"/>
        </w:rPr>
        <w:t>——</w:t>
      </w:r>
      <w:r>
        <w:rPr>
          <w:sz w:val="22"/>
        </w:rPr>
        <w:t xml:space="preserve"> </w:t>
      </w:r>
      <w:r>
        <w:rPr>
          <w:rFonts w:hint="eastAsia"/>
        </w:rPr>
        <w:t>增加</w:t>
      </w:r>
      <w:r>
        <w:rPr>
          <w:rFonts w:hint="eastAsia"/>
        </w:rPr>
        <w:t>1/2</w:t>
      </w:r>
      <w:r>
        <w:rPr>
          <w:rFonts w:hint="eastAsia"/>
        </w:rPr>
        <w:t>的合格期。在这个例子中，获得残疾养恤金的增加期达</w:t>
      </w:r>
      <w:r>
        <w:rPr>
          <w:rFonts w:hint="eastAsia"/>
        </w:rPr>
        <w:t>8</w:t>
      </w:r>
      <w:r>
        <w:rPr>
          <w:rFonts w:hint="eastAsia"/>
        </w:rPr>
        <w:t>年</w:t>
      </w:r>
      <w:r>
        <w:rPr>
          <w:rFonts w:hint="eastAsia"/>
        </w:rPr>
        <w:t>5</w:t>
      </w:r>
      <w:r>
        <w:rPr>
          <w:rFonts w:hint="eastAsia"/>
        </w:rPr>
        <w:t>个月</w:t>
      </w:r>
      <w:r>
        <w:rPr>
          <w:rFonts w:hint="eastAsia"/>
        </w:rPr>
        <w:t>20</w:t>
      </w:r>
      <w:r>
        <w:rPr>
          <w:rFonts w:hint="eastAsia"/>
        </w:rPr>
        <w:t>天，因此用于计算残疾养恤金额的总合格期为</w:t>
      </w:r>
      <w:r>
        <w:rPr>
          <w:rFonts w:hint="eastAsia"/>
        </w:rPr>
        <w:t>37</w:t>
      </w:r>
      <w:r>
        <w:rPr>
          <w:rFonts w:hint="eastAsia"/>
        </w:rPr>
        <w:t>年</w:t>
      </w:r>
      <w:r>
        <w:rPr>
          <w:rFonts w:hint="eastAsia"/>
        </w:rPr>
        <w:t>7</w:t>
      </w:r>
      <w:r>
        <w:rPr>
          <w:rFonts w:hint="eastAsia"/>
        </w:rPr>
        <w:t>个月</w:t>
      </w:r>
      <w:r>
        <w:rPr>
          <w:rFonts w:hint="eastAsia"/>
        </w:rPr>
        <w:t>9</w:t>
      </w:r>
      <w:r>
        <w:rPr>
          <w:rFonts w:hint="eastAsia"/>
        </w:rPr>
        <w:t>天，计</w:t>
      </w:r>
      <w:r>
        <w:rPr>
          <w:rFonts w:hint="eastAsia"/>
        </w:rPr>
        <w:t>37.6085[37+(7</w:t>
      </w:r>
      <w:r>
        <w:rPr>
          <w:rFonts w:hint="eastAsia"/>
        </w:rPr>
        <w:sym w:font="Symbol" w:char="F0B4"/>
      </w:r>
      <w:r>
        <w:rPr>
          <w:rFonts w:hint="eastAsia"/>
        </w:rPr>
        <w:t>0.0834)+(9</w:t>
      </w:r>
      <w:r>
        <w:rPr>
          <w:rFonts w:hint="eastAsia"/>
        </w:rPr>
        <w:sym w:font="Symbol" w:char="F0B4"/>
      </w:r>
      <w:r>
        <w:rPr>
          <w:rFonts w:hint="eastAsia"/>
        </w:rPr>
        <w:t>0.00274)]</w:t>
      </w:r>
      <w:r>
        <w:rPr>
          <w:rFonts w:hint="eastAsia"/>
        </w:rPr>
        <w:t>。养恤金系数视残疾养恤金种类的不同而有所变化：</w:t>
      </w:r>
    </w:p>
    <w:p w:rsidR="00000000" w:rsidRDefault="00000000">
      <w:pPr>
        <w:pStyle w:val="Heading4"/>
        <w:rPr>
          <w:rFonts w:hint="eastAsia"/>
        </w:rPr>
      </w:pPr>
      <w:r>
        <w:rPr>
          <w:u w:val="none"/>
        </w:rPr>
        <w:t>(a)</w:t>
      </w:r>
      <w:r>
        <w:rPr>
          <w:rFonts w:hint="eastAsia"/>
          <w:u w:val="none"/>
        </w:rPr>
        <w:tab/>
      </w:r>
      <w:r>
        <w:rPr>
          <w:rFonts w:hint="eastAsia"/>
        </w:rPr>
        <w:t>普通残疾残疾养恤金</w:t>
      </w:r>
      <w:r>
        <w:rPr>
          <w:rFonts w:hint="eastAsia"/>
        </w:rPr>
        <w:t>(</w:t>
      </w:r>
      <w:r>
        <w:rPr>
          <w:rFonts w:hint="eastAsia"/>
        </w:rPr>
        <w:t>养恤金系数</w:t>
      </w:r>
      <w:r>
        <w:rPr>
          <w:rFonts w:hint="eastAsia"/>
        </w:rPr>
        <w:t>= 1)</w:t>
      </w:r>
    </w:p>
    <w:p w:rsidR="00000000" w:rsidRDefault="00000000">
      <w:pPr>
        <w:rPr>
          <w:rFonts w:hint="eastAsia"/>
        </w:rPr>
      </w:pPr>
      <w:r>
        <w:rPr>
          <w:rFonts w:hint="eastAsia"/>
        </w:rPr>
        <w:tab/>
      </w:r>
      <w:r>
        <w:rPr>
          <w:rFonts w:hint="eastAsia"/>
        </w:rPr>
        <w:t>个人分数</w:t>
      </w:r>
      <w:r>
        <w:rPr>
          <w:rFonts w:hint="eastAsia"/>
        </w:rPr>
        <w:t xml:space="preserve">= 3.6085 </w:t>
      </w:r>
      <w:r>
        <w:rPr>
          <w:rFonts w:hint="eastAsia"/>
        </w:rPr>
        <w:t>×</w:t>
      </w:r>
      <w:r>
        <w:rPr>
          <w:rFonts w:hint="eastAsia"/>
        </w:rPr>
        <w:t xml:space="preserve"> 2.7780 </w:t>
      </w:r>
      <w:r>
        <w:rPr>
          <w:rFonts w:hint="eastAsia"/>
        </w:rPr>
        <w:t>×</w:t>
      </w:r>
      <w:r>
        <w:rPr>
          <w:rFonts w:hint="eastAsia"/>
        </w:rPr>
        <w:t xml:space="preserve"> 1 = 104.4764</w:t>
      </w:r>
    </w:p>
    <w:p w:rsidR="00000000" w:rsidRDefault="00000000">
      <w:pPr>
        <w:rPr>
          <w:rFonts w:hint="eastAsia"/>
        </w:rPr>
      </w:pPr>
      <w:r>
        <w:rPr>
          <w:rFonts w:hint="eastAsia"/>
        </w:rPr>
        <w:tab/>
        <w:t>99</w:t>
      </w:r>
      <w:r>
        <w:rPr>
          <w:rFonts w:hint="eastAsia"/>
        </w:rPr>
        <w:t>年</w:t>
      </w:r>
      <w:r>
        <w:rPr>
          <w:rFonts w:hint="eastAsia"/>
        </w:rPr>
        <w:t>1</w:t>
      </w:r>
      <w:r>
        <w:rPr>
          <w:rFonts w:hint="eastAsia"/>
        </w:rPr>
        <w:t>月</w:t>
      </w:r>
      <w:r>
        <w:rPr>
          <w:rFonts w:hint="eastAsia"/>
        </w:rPr>
        <w:t>5</w:t>
      </w:r>
      <w:r>
        <w:rPr>
          <w:rFonts w:hint="eastAsia"/>
        </w:rPr>
        <w:t>日的养恤金</w:t>
      </w:r>
      <w:r>
        <w:rPr>
          <w:rFonts w:hint="eastAsia"/>
        </w:rPr>
        <w:t xml:space="preserve"> = 104.4764</w:t>
      </w:r>
      <w:r>
        <w:rPr>
          <w:rFonts w:hint="eastAsia"/>
        </w:rPr>
        <w:t>×</w:t>
      </w:r>
      <w:r>
        <w:rPr>
          <w:rFonts w:hint="eastAsia"/>
        </w:rPr>
        <w:t>1</w:t>
      </w:r>
      <w:r>
        <w:rPr>
          <w:rFonts w:hint="eastAsia"/>
        </w:rPr>
        <w:t>×</w:t>
      </w:r>
      <w:r>
        <w:rPr>
          <w:rFonts w:hint="eastAsia"/>
        </w:rPr>
        <w:t>35.16 (99</w:t>
      </w:r>
      <w:r>
        <w:rPr>
          <w:rFonts w:hint="eastAsia"/>
        </w:rPr>
        <w:t>年</w:t>
      </w:r>
      <w:r>
        <w:rPr>
          <w:rFonts w:hint="eastAsia"/>
        </w:rPr>
        <w:t>1</w:t>
      </w:r>
      <w:r>
        <w:rPr>
          <w:rFonts w:hint="eastAsia"/>
        </w:rPr>
        <w:t>月</w:t>
      </w:r>
      <w:r>
        <w:rPr>
          <w:rFonts w:hint="eastAsia"/>
        </w:rPr>
        <w:t>1</w:t>
      </w:r>
      <w:r>
        <w:rPr>
          <w:rFonts w:hint="eastAsia"/>
        </w:rPr>
        <w:t>日的平均价值分数</w:t>
      </w:r>
      <w:r>
        <w:rPr>
          <w:rFonts w:hint="eastAsia"/>
        </w:rPr>
        <w:t xml:space="preserve"> = </w:t>
      </w:r>
      <w:r>
        <w:rPr>
          <w:rFonts w:hint="eastAsia"/>
          <w:u w:val="single"/>
        </w:rPr>
        <w:t>3,637.39</w:t>
      </w:r>
      <w:r>
        <w:rPr>
          <w:rFonts w:hint="eastAsia"/>
        </w:rPr>
        <w:t>库纳。</w:t>
      </w:r>
    </w:p>
    <w:p w:rsidR="00000000" w:rsidRDefault="00000000">
      <w:pPr>
        <w:spacing w:after="240"/>
        <w:rPr>
          <w:rFonts w:hint="eastAsia"/>
        </w:rPr>
      </w:pPr>
      <w:r>
        <w:rPr>
          <w:rFonts w:hint="eastAsia"/>
        </w:rPr>
        <w:tab/>
        <w:t>99</w:t>
      </w:r>
      <w:r>
        <w:rPr>
          <w:rFonts w:hint="eastAsia"/>
        </w:rPr>
        <w:t>年</w:t>
      </w:r>
      <w:r>
        <w:rPr>
          <w:rFonts w:hint="eastAsia"/>
        </w:rPr>
        <w:t>7</w:t>
      </w:r>
      <w:r>
        <w:rPr>
          <w:rFonts w:hint="eastAsia"/>
        </w:rPr>
        <w:t>月</w:t>
      </w:r>
      <w:r>
        <w:rPr>
          <w:rFonts w:hint="eastAsia"/>
        </w:rPr>
        <w:t>1</w:t>
      </w:r>
      <w:r>
        <w:rPr>
          <w:rFonts w:hint="eastAsia"/>
        </w:rPr>
        <w:t>日的养恤金</w:t>
      </w:r>
      <w:r>
        <w:rPr>
          <w:rFonts w:hint="eastAsia"/>
        </w:rPr>
        <w:t>(</w:t>
      </w:r>
      <w:r>
        <w:rPr>
          <w:rFonts w:hint="eastAsia"/>
        </w:rPr>
        <w:t>指数化</w:t>
      </w:r>
      <w:r>
        <w:rPr>
          <w:rFonts w:hint="eastAsia"/>
        </w:rPr>
        <w:t>) = 104.4764</w:t>
      </w:r>
      <w:r>
        <w:rPr>
          <w:rFonts w:hint="eastAsia"/>
        </w:rPr>
        <w:t>×</w:t>
      </w:r>
      <w:r>
        <w:rPr>
          <w:rFonts w:hint="eastAsia"/>
        </w:rPr>
        <w:t>1</w:t>
      </w:r>
      <w:r>
        <w:rPr>
          <w:rFonts w:hint="eastAsia"/>
        </w:rPr>
        <w:t>×</w:t>
      </w:r>
      <w:r>
        <w:rPr>
          <w:rFonts w:hint="eastAsia"/>
        </w:rPr>
        <w:t>36.51 (99</w:t>
      </w:r>
      <w:r>
        <w:rPr>
          <w:rFonts w:hint="eastAsia"/>
        </w:rPr>
        <w:t>年</w:t>
      </w:r>
      <w:r>
        <w:rPr>
          <w:rFonts w:hint="eastAsia"/>
        </w:rPr>
        <w:t>7</w:t>
      </w:r>
      <w:r>
        <w:rPr>
          <w:rFonts w:hint="eastAsia"/>
        </w:rPr>
        <w:t>月</w:t>
      </w:r>
      <w:r>
        <w:rPr>
          <w:rFonts w:hint="eastAsia"/>
        </w:rPr>
        <w:t>1</w:t>
      </w:r>
      <w:r>
        <w:rPr>
          <w:rFonts w:hint="eastAsia"/>
        </w:rPr>
        <w:t>日的平均价值分数</w:t>
      </w:r>
      <w:r>
        <w:rPr>
          <w:rFonts w:hint="eastAsia"/>
        </w:rPr>
        <w:t xml:space="preserve">) = </w:t>
      </w:r>
      <w:r>
        <w:rPr>
          <w:rFonts w:hint="eastAsia"/>
          <w:u w:val="single"/>
        </w:rPr>
        <w:t>3,814.43</w:t>
      </w:r>
      <w:r>
        <w:rPr>
          <w:rFonts w:hint="eastAsia"/>
        </w:rPr>
        <w:t>库纳。</w:t>
      </w:r>
    </w:p>
    <w:p w:rsidR="00000000" w:rsidRDefault="00000000">
      <w:pPr>
        <w:pStyle w:val="Heading4"/>
        <w:rPr>
          <w:rFonts w:hint="eastAsia"/>
        </w:rPr>
      </w:pPr>
      <w:r>
        <w:rPr>
          <w:u w:val="none"/>
        </w:rPr>
        <w:t>(b)</w:t>
      </w:r>
      <w:r>
        <w:rPr>
          <w:rFonts w:hint="eastAsia"/>
          <w:u w:val="none"/>
        </w:rPr>
        <w:tab/>
      </w:r>
      <w:r>
        <w:rPr>
          <w:rFonts w:hint="eastAsia"/>
        </w:rPr>
        <w:t>工伤残疾残疾养恤金</w:t>
      </w:r>
    </w:p>
    <w:p w:rsidR="00000000" w:rsidRDefault="00000000">
      <w:pPr>
        <w:rPr>
          <w:rFonts w:hint="eastAsia"/>
        </w:rPr>
      </w:pPr>
      <w:r>
        <w:rPr>
          <w:rFonts w:hint="eastAsia"/>
        </w:rPr>
        <w:tab/>
        <w:t>(</w:t>
      </w:r>
      <w:r>
        <w:rPr>
          <w:rFonts w:hint="eastAsia"/>
        </w:rPr>
        <w:t>一</w:t>
      </w:r>
      <w:r>
        <w:rPr>
          <w:rFonts w:hint="eastAsia"/>
        </w:rPr>
        <w:t>)</w:t>
      </w:r>
      <w:r>
        <w:rPr>
          <w:rFonts w:hint="eastAsia"/>
        </w:rPr>
        <w:tab/>
      </w:r>
      <w:r>
        <w:rPr>
          <w:rFonts w:hint="eastAsia"/>
        </w:rPr>
        <w:t>残疾人</w:t>
      </w:r>
      <w:r>
        <w:rPr>
          <w:rFonts w:hint="eastAsia"/>
          <w:u w:val="single"/>
        </w:rPr>
        <w:t>失业</w:t>
      </w:r>
      <w:r>
        <w:rPr>
          <w:rFonts w:hint="eastAsia"/>
        </w:rPr>
        <w:t>(</w:t>
      </w:r>
      <w:r>
        <w:rPr>
          <w:rFonts w:hint="eastAsia"/>
        </w:rPr>
        <w:t>养恤金系数</w:t>
      </w:r>
      <w:r>
        <w:rPr>
          <w:rFonts w:hint="eastAsia"/>
        </w:rPr>
        <w:t xml:space="preserve"> = 0.6667)</w:t>
      </w:r>
    </w:p>
    <w:p w:rsidR="00000000" w:rsidRDefault="00000000">
      <w:pPr>
        <w:ind w:left="1040"/>
        <w:rPr>
          <w:rFonts w:hint="eastAsia"/>
        </w:rPr>
      </w:pPr>
      <w:r>
        <w:rPr>
          <w:rFonts w:hint="eastAsia"/>
        </w:rPr>
        <w:tab/>
        <w:t>99</w:t>
      </w:r>
      <w:r>
        <w:rPr>
          <w:rFonts w:hint="eastAsia"/>
        </w:rPr>
        <w:t>年</w:t>
      </w:r>
      <w:r>
        <w:rPr>
          <w:rFonts w:hint="eastAsia"/>
        </w:rPr>
        <w:t>1</w:t>
      </w:r>
      <w:r>
        <w:rPr>
          <w:rFonts w:hint="eastAsia"/>
        </w:rPr>
        <w:t>月</w:t>
      </w:r>
      <w:r>
        <w:rPr>
          <w:rFonts w:hint="eastAsia"/>
        </w:rPr>
        <w:t>5</w:t>
      </w:r>
      <w:r>
        <w:rPr>
          <w:rFonts w:hint="eastAsia"/>
        </w:rPr>
        <w:t>日的养恤金</w:t>
      </w:r>
      <w:r>
        <w:rPr>
          <w:rFonts w:hint="eastAsia"/>
        </w:rPr>
        <w:t xml:space="preserve"> = 104.4764 </w:t>
      </w:r>
      <w:r>
        <w:rPr>
          <w:rFonts w:hint="eastAsia"/>
        </w:rPr>
        <w:t>×</w:t>
      </w:r>
      <w:r>
        <w:rPr>
          <w:rFonts w:hint="eastAsia"/>
        </w:rPr>
        <w:t xml:space="preserve"> 0.6667 </w:t>
      </w:r>
      <w:r>
        <w:rPr>
          <w:rFonts w:hint="eastAsia"/>
        </w:rPr>
        <w:t>×</w:t>
      </w:r>
      <w:r>
        <w:rPr>
          <w:rFonts w:hint="eastAsia"/>
        </w:rPr>
        <w:t xml:space="preserve"> 35.16 (99</w:t>
      </w:r>
      <w:r>
        <w:rPr>
          <w:rFonts w:hint="eastAsia"/>
        </w:rPr>
        <w:t>年</w:t>
      </w:r>
      <w:r>
        <w:rPr>
          <w:rFonts w:hint="eastAsia"/>
        </w:rPr>
        <w:t>1</w:t>
      </w:r>
      <w:r>
        <w:rPr>
          <w:rFonts w:hint="eastAsia"/>
        </w:rPr>
        <w:t>月</w:t>
      </w:r>
      <w:r>
        <w:rPr>
          <w:rFonts w:hint="eastAsia"/>
        </w:rPr>
        <w:t>1</w:t>
      </w:r>
      <w:r>
        <w:rPr>
          <w:rFonts w:hint="eastAsia"/>
        </w:rPr>
        <w:t>日的平均价值分数</w:t>
      </w:r>
      <w:r>
        <w:rPr>
          <w:rFonts w:hint="eastAsia"/>
        </w:rPr>
        <w:t xml:space="preserve">) = </w:t>
      </w:r>
      <w:r>
        <w:rPr>
          <w:rFonts w:hint="eastAsia"/>
          <w:u w:val="single"/>
        </w:rPr>
        <w:t>2,449.05</w:t>
      </w:r>
      <w:r>
        <w:rPr>
          <w:rFonts w:hint="eastAsia"/>
        </w:rPr>
        <w:t>库纳。</w:t>
      </w:r>
    </w:p>
    <w:p w:rsidR="00000000" w:rsidRDefault="00000000">
      <w:pPr>
        <w:ind w:left="1040"/>
        <w:rPr>
          <w:rFonts w:hint="eastAsia"/>
        </w:rPr>
      </w:pPr>
      <w:r>
        <w:rPr>
          <w:rFonts w:hint="eastAsia"/>
        </w:rPr>
        <w:tab/>
        <w:t>99</w:t>
      </w:r>
      <w:r>
        <w:rPr>
          <w:rFonts w:hint="eastAsia"/>
        </w:rPr>
        <w:t>年</w:t>
      </w:r>
      <w:r>
        <w:rPr>
          <w:rFonts w:hint="eastAsia"/>
        </w:rPr>
        <w:t>7</w:t>
      </w:r>
      <w:r>
        <w:rPr>
          <w:rFonts w:hint="eastAsia"/>
        </w:rPr>
        <w:t>月</w:t>
      </w:r>
      <w:r>
        <w:rPr>
          <w:rFonts w:hint="eastAsia"/>
        </w:rPr>
        <w:t>1</w:t>
      </w:r>
      <w:r>
        <w:rPr>
          <w:rFonts w:hint="eastAsia"/>
        </w:rPr>
        <w:t>日的养恤金</w:t>
      </w:r>
      <w:r>
        <w:rPr>
          <w:rFonts w:hint="eastAsia"/>
        </w:rPr>
        <w:t>(</w:t>
      </w:r>
      <w:r>
        <w:rPr>
          <w:rFonts w:hint="eastAsia"/>
        </w:rPr>
        <w:t>指数化</w:t>
      </w:r>
      <w:r>
        <w:rPr>
          <w:rFonts w:hint="eastAsia"/>
        </w:rPr>
        <w:t xml:space="preserve">) = 104.4764 </w:t>
      </w:r>
      <w:r>
        <w:rPr>
          <w:rFonts w:hint="eastAsia"/>
        </w:rPr>
        <w:t>×</w:t>
      </w:r>
      <w:r>
        <w:rPr>
          <w:rFonts w:hint="eastAsia"/>
        </w:rPr>
        <w:t xml:space="preserve"> 0.6667 </w:t>
      </w:r>
      <w:r>
        <w:rPr>
          <w:rFonts w:hint="eastAsia"/>
        </w:rPr>
        <w:t>×</w:t>
      </w:r>
      <w:r>
        <w:rPr>
          <w:rFonts w:hint="eastAsia"/>
        </w:rPr>
        <w:t xml:space="preserve"> 36.51 (99</w:t>
      </w:r>
      <w:r>
        <w:rPr>
          <w:rFonts w:hint="eastAsia"/>
        </w:rPr>
        <w:t>年</w:t>
      </w:r>
      <w:r>
        <w:rPr>
          <w:rFonts w:hint="eastAsia"/>
        </w:rPr>
        <w:t>7</w:t>
      </w:r>
      <w:r>
        <w:rPr>
          <w:rFonts w:hint="eastAsia"/>
        </w:rPr>
        <w:t>月</w:t>
      </w:r>
      <w:r>
        <w:rPr>
          <w:rFonts w:hint="eastAsia"/>
        </w:rPr>
        <w:t>1</w:t>
      </w:r>
      <w:r>
        <w:rPr>
          <w:rFonts w:hint="eastAsia"/>
        </w:rPr>
        <w:t>日的平均价值分数</w:t>
      </w:r>
      <w:r>
        <w:rPr>
          <w:rFonts w:hint="eastAsia"/>
        </w:rPr>
        <w:t xml:space="preserve">) = </w:t>
      </w:r>
      <w:r>
        <w:rPr>
          <w:rFonts w:hint="eastAsia"/>
          <w:u w:val="single"/>
        </w:rPr>
        <w:t>2,543.08</w:t>
      </w:r>
      <w:r>
        <w:rPr>
          <w:rFonts w:hint="eastAsia"/>
        </w:rPr>
        <w:t>库纳。</w:t>
      </w:r>
    </w:p>
    <w:p w:rsidR="00000000" w:rsidRDefault="00000000">
      <w:pPr>
        <w:spacing w:after="240"/>
        <w:ind w:left="1040"/>
        <w:rPr>
          <w:rFonts w:hint="eastAsia"/>
        </w:rPr>
      </w:pPr>
      <w:r>
        <w:rPr>
          <w:rFonts w:hint="eastAsia"/>
        </w:rPr>
        <w:tab/>
      </w:r>
      <w:r>
        <w:rPr>
          <w:rFonts w:hint="eastAsia"/>
        </w:rPr>
        <w:t>工伤残疾养恤金金额为普通残疾养恤金的</w:t>
      </w:r>
      <w:r>
        <w:rPr>
          <w:rFonts w:hint="eastAsia"/>
        </w:rPr>
        <w:t>2/3</w:t>
      </w:r>
      <w:r>
        <w:rPr>
          <w:rFonts w:hint="eastAsia"/>
        </w:rPr>
        <w:t>。</w:t>
      </w:r>
    </w:p>
    <w:p w:rsidR="00000000" w:rsidRDefault="00000000">
      <w:pPr>
        <w:pStyle w:val="Heading4"/>
        <w:ind w:left="520"/>
        <w:rPr>
          <w:rFonts w:hint="eastAsia"/>
        </w:rPr>
      </w:pPr>
      <w:r>
        <w:rPr>
          <w:rFonts w:hint="eastAsia"/>
          <w:u w:val="none"/>
        </w:rPr>
        <w:t>(</w:t>
      </w:r>
      <w:r>
        <w:rPr>
          <w:rFonts w:hint="eastAsia"/>
          <w:u w:val="none"/>
        </w:rPr>
        <w:t>二</w:t>
      </w:r>
      <w:r>
        <w:rPr>
          <w:rFonts w:hint="eastAsia"/>
          <w:u w:val="none"/>
        </w:rPr>
        <w:t>)</w:t>
      </w:r>
      <w:r>
        <w:rPr>
          <w:rFonts w:hint="eastAsia"/>
          <w:u w:val="none"/>
        </w:rPr>
        <w:tab/>
      </w:r>
      <w:r>
        <w:rPr>
          <w:rFonts w:hint="eastAsia"/>
        </w:rPr>
        <w:t>残疾人就业</w:t>
      </w:r>
      <w:r>
        <w:rPr>
          <w:rFonts w:hint="eastAsia"/>
        </w:rPr>
        <w:t>(</w:t>
      </w:r>
      <w:r>
        <w:rPr>
          <w:rFonts w:hint="eastAsia"/>
        </w:rPr>
        <w:t>养恤金系数</w:t>
      </w:r>
      <w:r>
        <w:rPr>
          <w:rFonts w:hint="eastAsia"/>
        </w:rPr>
        <w:t>= 0.3333</w:t>
      </w:r>
      <w:r>
        <w:rPr>
          <w:rFonts w:hint="eastAsia"/>
          <w:u w:val="none"/>
        </w:rPr>
        <w:t>)</w:t>
      </w:r>
    </w:p>
    <w:p w:rsidR="00000000" w:rsidRDefault="00000000">
      <w:pPr>
        <w:ind w:left="1040"/>
        <w:rPr>
          <w:rFonts w:hint="eastAsia"/>
        </w:rPr>
      </w:pPr>
      <w:r>
        <w:rPr>
          <w:rFonts w:hint="eastAsia"/>
        </w:rPr>
        <w:tab/>
        <w:t>99</w:t>
      </w:r>
      <w:r>
        <w:rPr>
          <w:rFonts w:hint="eastAsia"/>
        </w:rPr>
        <w:t>年</w:t>
      </w:r>
      <w:r>
        <w:rPr>
          <w:rFonts w:hint="eastAsia"/>
        </w:rPr>
        <w:t>1</w:t>
      </w:r>
      <w:r>
        <w:rPr>
          <w:rFonts w:hint="eastAsia"/>
        </w:rPr>
        <w:t>月</w:t>
      </w:r>
      <w:r>
        <w:rPr>
          <w:rFonts w:hint="eastAsia"/>
        </w:rPr>
        <w:t>5</w:t>
      </w:r>
      <w:r>
        <w:rPr>
          <w:rFonts w:hint="eastAsia"/>
        </w:rPr>
        <w:t>日的养恤金</w:t>
      </w:r>
      <w:r>
        <w:rPr>
          <w:rFonts w:hint="eastAsia"/>
        </w:rPr>
        <w:t xml:space="preserve"> = 104.4764 </w:t>
      </w:r>
      <w:r>
        <w:rPr>
          <w:rFonts w:hint="eastAsia"/>
        </w:rPr>
        <w:t>×</w:t>
      </w:r>
      <w:r>
        <w:rPr>
          <w:rFonts w:hint="eastAsia"/>
        </w:rPr>
        <w:t xml:space="preserve"> 0.3333 </w:t>
      </w:r>
      <w:r>
        <w:rPr>
          <w:rFonts w:hint="eastAsia"/>
        </w:rPr>
        <w:t>×</w:t>
      </w:r>
      <w:r>
        <w:rPr>
          <w:rFonts w:hint="eastAsia"/>
        </w:rPr>
        <w:t xml:space="preserve"> 35.16 (99</w:t>
      </w:r>
      <w:r>
        <w:rPr>
          <w:rFonts w:hint="eastAsia"/>
        </w:rPr>
        <w:t>年</w:t>
      </w:r>
      <w:r>
        <w:rPr>
          <w:rFonts w:hint="eastAsia"/>
        </w:rPr>
        <w:t>1</w:t>
      </w:r>
      <w:r>
        <w:rPr>
          <w:rFonts w:hint="eastAsia"/>
        </w:rPr>
        <w:t>月</w:t>
      </w:r>
      <w:r>
        <w:rPr>
          <w:rFonts w:hint="eastAsia"/>
        </w:rPr>
        <w:t>1</w:t>
      </w:r>
      <w:r>
        <w:rPr>
          <w:rFonts w:hint="eastAsia"/>
        </w:rPr>
        <w:t>日的平均价值分数</w:t>
      </w:r>
      <w:r>
        <w:rPr>
          <w:rFonts w:hint="eastAsia"/>
        </w:rPr>
        <w:t xml:space="preserve">) = </w:t>
      </w:r>
      <w:r>
        <w:rPr>
          <w:rFonts w:hint="eastAsia"/>
          <w:u w:val="single"/>
        </w:rPr>
        <w:t>1,224.34</w:t>
      </w:r>
      <w:r>
        <w:rPr>
          <w:rFonts w:hint="eastAsia"/>
        </w:rPr>
        <w:t>库纳。</w:t>
      </w:r>
    </w:p>
    <w:p w:rsidR="00000000" w:rsidRDefault="00000000">
      <w:pPr>
        <w:ind w:left="1040"/>
        <w:rPr>
          <w:rFonts w:hint="eastAsia"/>
        </w:rPr>
      </w:pPr>
      <w:r>
        <w:rPr>
          <w:rFonts w:hint="eastAsia"/>
        </w:rPr>
        <w:tab/>
        <w:t>99</w:t>
      </w:r>
      <w:r>
        <w:rPr>
          <w:rFonts w:hint="eastAsia"/>
        </w:rPr>
        <w:t>年</w:t>
      </w:r>
      <w:r>
        <w:rPr>
          <w:rFonts w:hint="eastAsia"/>
        </w:rPr>
        <w:t>7</w:t>
      </w:r>
      <w:r>
        <w:rPr>
          <w:rFonts w:hint="eastAsia"/>
        </w:rPr>
        <w:t>月</w:t>
      </w:r>
      <w:r>
        <w:rPr>
          <w:rFonts w:hint="eastAsia"/>
        </w:rPr>
        <w:t>1</w:t>
      </w:r>
      <w:r>
        <w:rPr>
          <w:rFonts w:hint="eastAsia"/>
        </w:rPr>
        <w:t>日的养恤金</w:t>
      </w:r>
      <w:r>
        <w:rPr>
          <w:rFonts w:hint="eastAsia"/>
        </w:rPr>
        <w:t>(</w:t>
      </w:r>
      <w:r>
        <w:rPr>
          <w:rFonts w:hint="eastAsia"/>
        </w:rPr>
        <w:t>指数化</w:t>
      </w:r>
      <w:r>
        <w:rPr>
          <w:rFonts w:hint="eastAsia"/>
        </w:rPr>
        <w:t xml:space="preserve">) = 104.4764 </w:t>
      </w:r>
      <w:r>
        <w:rPr>
          <w:rFonts w:hint="eastAsia"/>
        </w:rPr>
        <w:t>×</w:t>
      </w:r>
      <w:r>
        <w:rPr>
          <w:rFonts w:hint="eastAsia"/>
        </w:rPr>
        <w:t xml:space="preserve"> 0.3333 </w:t>
      </w:r>
      <w:r>
        <w:rPr>
          <w:rFonts w:hint="eastAsia"/>
        </w:rPr>
        <w:t>×</w:t>
      </w:r>
      <w:r>
        <w:rPr>
          <w:rFonts w:hint="eastAsia"/>
        </w:rPr>
        <w:t xml:space="preserve"> 36.51 (99</w:t>
      </w:r>
      <w:r>
        <w:rPr>
          <w:rFonts w:hint="eastAsia"/>
        </w:rPr>
        <w:t>年</w:t>
      </w:r>
      <w:r>
        <w:rPr>
          <w:rFonts w:hint="eastAsia"/>
        </w:rPr>
        <w:t>1</w:t>
      </w:r>
      <w:r>
        <w:rPr>
          <w:rFonts w:hint="eastAsia"/>
        </w:rPr>
        <w:t>月</w:t>
      </w:r>
      <w:r>
        <w:rPr>
          <w:rFonts w:hint="eastAsia"/>
        </w:rPr>
        <w:t>1</w:t>
      </w:r>
      <w:r>
        <w:rPr>
          <w:rFonts w:hint="eastAsia"/>
        </w:rPr>
        <w:t>日的平均价值分数</w:t>
      </w:r>
      <w:r>
        <w:rPr>
          <w:rFonts w:hint="eastAsia"/>
        </w:rPr>
        <w:t xml:space="preserve">) = </w:t>
      </w:r>
      <w:r>
        <w:rPr>
          <w:rFonts w:hint="eastAsia"/>
          <w:u w:val="single"/>
        </w:rPr>
        <w:t>1,271.35</w:t>
      </w:r>
      <w:r>
        <w:rPr>
          <w:rFonts w:hint="eastAsia"/>
        </w:rPr>
        <w:t>库纳。</w:t>
      </w:r>
    </w:p>
    <w:p w:rsidR="00000000" w:rsidRDefault="00000000">
      <w:pPr>
        <w:rPr>
          <w:rFonts w:hint="eastAsia"/>
        </w:rPr>
      </w:pPr>
      <w:r>
        <w:rPr>
          <w:rFonts w:hint="eastAsia"/>
        </w:rPr>
        <w:tab/>
      </w:r>
      <w:r>
        <w:rPr>
          <w:rFonts w:hint="eastAsia"/>
          <w:u w:val="single"/>
        </w:rPr>
        <w:t>就业</w:t>
      </w:r>
      <w:r>
        <w:rPr>
          <w:rFonts w:hint="eastAsia"/>
        </w:rPr>
        <w:t>人员的工伤残疾养恤金金额为非就业人员工伤残疾养恤金的</w:t>
      </w:r>
      <w:r>
        <w:rPr>
          <w:rFonts w:hint="eastAsia"/>
        </w:rPr>
        <w:t xml:space="preserve">1/2, </w:t>
      </w:r>
      <w:r>
        <w:rPr>
          <w:rFonts w:hint="eastAsia"/>
        </w:rPr>
        <w:t>因为受益人同时也有收入。而且，这是除就业或自营职业外唯一的一种应予支付的养恤金。</w:t>
      </w:r>
    </w:p>
    <w:p w:rsidR="00000000" w:rsidRDefault="00000000">
      <w:pPr>
        <w:rPr>
          <w:rFonts w:hint="eastAsia"/>
        </w:rPr>
      </w:pPr>
      <w:r>
        <w:rPr>
          <w:rFonts w:hint="eastAsia"/>
        </w:rPr>
        <w:tab/>
        <w:t xml:space="preserve">5.  </w:t>
      </w:r>
      <w:r>
        <w:rPr>
          <w:rFonts w:hint="eastAsia"/>
          <w:u w:val="single"/>
        </w:rPr>
        <w:t>遗属养恤金</w:t>
      </w:r>
      <w:r>
        <w:rPr>
          <w:rFonts w:hint="eastAsia"/>
        </w:rPr>
        <w:t xml:space="preserve">  </w:t>
      </w:r>
      <w:r>
        <w:rPr>
          <w:rFonts w:hint="eastAsia"/>
        </w:rPr>
        <w:t>被保险人死亡后，这一例子以第</w:t>
      </w:r>
      <w:r>
        <w:rPr>
          <w:rFonts w:hint="eastAsia"/>
        </w:rPr>
        <w:t>4</w:t>
      </w:r>
      <w:r>
        <w:rPr>
          <w:rFonts w:hint="eastAsia"/>
        </w:rPr>
        <w:t>段</w:t>
      </w:r>
      <w:r>
        <w:t>(a)</w:t>
      </w:r>
      <w:r>
        <w:rPr>
          <w:rFonts w:hint="eastAsia"/>
        </w:rPr>
        <w:t>小段所示的例子为基础。我们假定上一个例子中的日期</w:t>
      </w:r>
      <w:r>
        <w:rPr>
          <w:rFonts w:hint="eastAsia"/>
        </w:rPr>
        <w:t>1999</w:t>
      </w:r>
      <w:r>
        <w:rPr>
          <w:rFonts w:hint="eastAsia"/>
        </w:rPr>
        <w:t>年</w:t>
      </w:r>
      <w:r>
        <w:rPr>
          <w:rFonts w:hint="eastAsia"/>
        </w:rPr>
        <w:t>1</w:t>
      </w:r>
      <w:r>
        <w:rPr>
          <w:rFonts w:hint="eastAsia"/>
        </w:rPr>
        <w:t>月</w:t>
      </w:r>
      <w:r>
        <w:rPr>
          <w:rFonts w:hint="eastAsia"/>
        </w:rPr>
        <w:t>5</w:t>
      </w:r>
      <w:r>
        <w:rPr>
          <w:rFonts w:hint="eastAsia"/>
        </w:rPr>
        <w:t>日是死亡日期</w:t>
      </w:r>
      <w:r>
        <w:rPr>
          <w:rFonts w:hint="eastAsia"/>
        </w:rPr>
        <w:t>(</w:t>
      </w:r>
      <w:r>
        <w:rPr>
          <w:rFonts w:hint="eastAsia"/>
        </w:rPr>
        <w:t>而不是残疾日期</w:t>
      </w:r>
      <w:r>
        <w:rPr>
          <w:rFonts w:hint="eastAsia"/>
        </w:rPr>
        <w:t>)</w:t>
      </w:r>
      <w:r>
        <w:rPr>
          <w:rFonts w:hint="eastAsia"/>
        </w:rPr>
        <w:t>。假定养恤金用作计算遗属养恤金的基础，是普通残疾养恤金</w:t>
      </w:r>
      <w:r>
        <w:rPr>
          <w:rFonts w:hint="eastAsia"/>
        </w:rPr>
        <w:t>(</w:t>
      </w:r>
      <w:r>
        <w:rPr>
          <w:rFonts w:hint="eastAsia"/>
        </w:rPr>
        <w:t>因为死者未满老年养恤金所要求的年龄</w:t>
      </w:r>
      <w:r>
        <w:rPr>
          <w:rFonts w:hint="eastAsia"/>
        </w:rPr>
        <w:t>)</w:t>
      </w:r>
      <w:r>
        <w:rPr>
          <w:rFonts w:hint="eastAsia"/>
        </w:rPr>
        <w:t>。个人分数保持不变，因为获得残疾养恤金的增加期的计算方法与获得被保险人死亡后的遗属养恤金一样。</w:t>
      </w:r>
    </w:p>
    <w:p w:rsidR="00000000" w:rsidRDefault="00000000">
      <w:pPr>
        <w:rPr>
          <w:rFonts w:hint="eastAsia"/>
        </w:rPr>
      </w:pPr>
      <w:r>
        <w:rPr>
          <w:rFonts w:hint="eastAsia"/>
        </w:rPr>
        <w:tab/>
      </w:r>
      <w:r>
        <w:rPr>
          <w:rFonts w:hint="eastAsia"/>
        </w:rPr>
        <w:t>养恤金系数取决于有权享受的遗属人数：从</w:t>
      </w:r>
      <w:r>
        <w:rPr>
          <w:rFonts w:hint="eastAsia"/>
        </w:rPr>
        <w:t>0.7</w:t>
      </w:r>
      <w:r>
        <w:rPr>
          <w:rFonts w:hint="eastAsia"/>
        </w:rPr>
        <w:t>至</w:t>
      </w:r>
      <w:r>
        <w:rPr>
          <w:rFonts w:hint="eastAsia"/>
        </w:rPr>
        <w:t>1</w:t>
      </w:r>
      <w:r>
        <w:rPr>
          <w:rFonts w:hint="eastAsia"/>
        </w:rPr>
        <w:t>。养恤金的范围是第</w:t>
      </w:r>
      <w:r>
        <w:rPr>
          <w:rFonts w:hint="eastAsia"/>
        </w:rPr>
        <w:t>4</w:t>
      </w:r>
      <w:r>
        <w:rPr>
          <w:rFonts w:hint="eastAsia"/>
        </w:rPr>
        <w:t>段</w:t>
      </w:r>
      <w:r>
        <w:t>(a)</w:t>
      </w:r>
      <w:r>
        <w:rPr>
          <w:rFonts w:hint="eastAsia"/>
        </w:rPr>
        <w:t>小段所示残疾养恤金金额的</w:t>
      </w:r>
      <w:r>
        <w:rPr>
          <w:rFonts w:hint="eastAsia"/>
        </w:rPr>
        <w:t>70%</w:t>
      </w:r>
      <w:r>
        <w:rPr>
          <w:rFonts w:hint="eastAsia"/>
        </w:rPr>
        <w:t>至</w:t>
      </w:r>
      <w:r>
        <w:rPr>
          <w:rFonts w:hint="eastAsia"/>
        </w:rPr>
        <w:t>100%</w:t>
      </w:r>
      <w:r>
        <w:rPr>
          <w:rFonts w:hint="eastAsia"/>
        </w:rPr>
        <w:t>。</w:t>
      </w:r>
    </w:p>
    <w:p w:rsidR="00000000" w:rsidRDefault="00000000">
      <w:pPr>
        <w:rPr>
          <w:rFonts w:hint="eastAsia"/>
        </w:rPr>
      </w:pPr>
      <w:r>
        <w:rPr>
          <w:rFonts w:hint="eastAsia"/>
        </w:rPr>
        <w:tab/>
      </w:r>
      <w:r>
        <w:rPr>
          <w:rFonts w:hint="eastAsia"/>
        </w:rPr>
        <w:t>三名遗属</w:t>
      </w:r>
      <w:r>
        <w:rPr>
          <w:rFonts w:hint="eastAsia"/>
        </w:rPr>
        <w:t>(</w:t>
      </w:r>
      <w:r>
        <w:rPr>
          <w:rFonts w:hint="eastAsia"/>
        </w:rPr>
        <w:t>配偶和两名子女</w:t>
      </w:r>
      <w:r>
        <w:rPr>
          <w:rFonts w:hint="eastAsia"/>
        </w:rPr>
        <w:t>)</w:t>
      </w:r>
      <w:r>
        <w:rPr>
          <w:rFonts w:hint="eastAsia"/>
        </w:rPr>
        <w:t>，但其中一名是子女就业，因此只有两名遗属有权享受</w:t>
      </w:r>
      <w:r>
        <w:rPr>
          <w:rFonts w:hint="eastAsia"/>
        </w:rPr>
        <w:t>(</w:t>
      </w:r>
      <w:r>
        <w:rPr>
          <w:rFonts w:hint="eastAsia"/>
        </w:rPr>
        <w:t>配偶和一名子女</w:t>
      </w:r>
      <w:r>
        <w:rPr>
          <w:rFonts w:hint="eastAsia"/>
        </w:rPr>
        <w:t>)</w:t>
      </w:r>
      <w:r>
        <w:rPr>
          <w:rFonts w:hint="eastAsia"/>
        </w:rPr>
        <w:t>。</w:t>
      </w:r>
    </w:p>
    <w:p w:rsidR="00000000" w:rsidRDefault="00000000">
      <w:pPr>
        <w:rPr>
          <w:rFonts w:hint="eastAsia"/>
        </w:rPr>
      </w:pPr>
      <w:r>
        <w:rPr>
          <w:rFonts w:hint="eastAsia"/>
        </w:rPr>
        <w:tab/>
        <w:t>99</w:t>
      </w:r>
      <w:r>
        <w:rPr>
          <w:rFonts w:hint="eastAsia"/>
        </w:rPr>
        <w:t>年</w:t>
      </w:r>
      <w:r>
        <w:rPr>
          <w:rFonts w:hint="eastAsia"/>
        </w:rPr>
        <w:t>1</w:t>
      </w:r>
      <w:r>
        <w:rPr>
          <w:rFonts w:hint="eastAsia"/>
        </w:rPr>
        <w:t>月</w:t>
      </w:r>
      <w:r>
        <w:rPr>
          <w:rFonts w:hint="eastAsia"/>
        </w:rPr>
        <w:t>5</w:t>
      </w:r>
      <w:r>
        <w:rPr>
          <w:rFonts w:hint="eastAsia"/>
        </w:rPr>
        <w:t>日的养恤金</w:t>
      </w:r>
      <w:r>
        <w:rPr>
          <w:rFonts w:hint="eastAsia"/>
        </w:rPr>
        <w:t>= 3,673.39</w:t>
      </w:r>
      <w:r>
        <w:rPr>
          <w:rFonts w:hint="eastAsia"/>
        </w:rPr>
        <w:t>库纳</w:t>
      </w:r>
      <w:r>
        <w:rPr>
          <w:rFonts w:hint="eastAsia"/>
        </w:rPr>
        <w:t>(</w:t>
      </w:r>
      <w:r>
        <w:rPr>
          <w:rFonts w:hint="eastAsia"/>
        </w:rPr>
        <w:t>普通残疾养恤金</w:t>
      </w:r>
      <w:r>
        <w:rPr>
          <w:rFonts w:hint="eastAsia"/>
        </w:rPr>
        <w:t>)</w:t>
      </w:r>
      <w:r>
        <w:rPr>
          <w:rFonts w:hint="eastAsia"/>
        </w:rPr>
        <w:t>×</w:t>
      </w:r>
      <w:r>
        <w:rPr>
          <w:rFonts w:hint="eastAsia"/>
        </w:rPr>
        <w:t xml:space="preserve"> 0.8 (</w:t>
      </w:r>
      <w:r>
        <w:rPr>
          <w:rFonts w:hint="eastAsia"/>
        </w:rPr>
        <w:t>两名遗属的养恤金系数</w:t>
      </w:r>
      <w:r>
        <w:rPr>
          <w:rFonts w:hint="eastAsia"/>
        </w:rPr>
        <w:t xml:space="preserve">) = </w:t>
      </w:r>
      <w:r>
        <w:rPr>
          <w:rFonts w:hint="eastAsia"/>
          <w:u w:val="single"/>
        </w:rPr>
        <w:t>2,938.71</w:t>
      </w:r>
      <w:r>
        <w:rPr>
          <w:rFonts w:hint="eastAsia"/>
        </w:rPr>
        <w:t>库纳。</w:t>
      </w:r>
    </w:p>
    <w:p w:rsidR="00000000" w:rsidRDefault="00000000">
      <w:pPr>
        <w:rPr>
          <w:rFonts w:hint="eastAsia"/>
        </w:rPr>
      </w:pPr>
      <w:r>
        <w:rPr>
          <w:rFonts w:hint="eastAsia"/>
        </w:rPr>
        <w:tab/>
        <w:t>99</w:t>
      </w:r>
      <w:r>
        <w:rPr>
          <w:rFonts w:hint="eastAsia"/>
        </w:rPr>
        <w:t>年</w:t>
      </w:r>
      <w:r>
        <w:rPr>
          <w:rFonts w:hint="eastAsia"/>
        </w:rPr>
        <w:t>7</w:t>
      </w:r>
      <w:r>
        <w:rPr>
          <w:rFonts w:hint="eastAsia"/>
        </w:rPr>
        <w:t>月</w:t>
      </w:r>
      <w:r>
        <w:rPr>
          <w:rFonts w:hint="eastAsia"/>
        </w:rPr>
        <w:t>1</w:t>
      </w:r>
      <w:r>
        <w:rPr>
          <w:rFonts w:hint="eastAsia"/>
        </w:rPr>
        <w:t>日的养恤金</w:t>
      </w:r>
      <w:r>
        <w:rPr>
          <w:rFonts w:hint="eastAsia"/>
        </w:rPr>
        <w:t>(</w:t>
      </w:r>
      <w:r>
        <w:rPr>
          <w:rFonts w:hint="eastAsia"/>
        </w:rPr>
        <w:t>指数化</w:t>
      </w:r>
      <w:r>
        <w:rPr>
          <w:rFonts w:hint="eastAsia"/>
        </w:rPr>
        <w:t>) = 3,814.43 (</w:t>
      </w:r>
      <w:r>
        <w:rPr>
          <w:rFonts w:hint="eastAsia"/>
        </w:rPr>
        <w:t>指数化后的普通残疾养恤金</w:t>
      </w:r>
      <w:r>
        <w:rPr>
          <w:rFonts w:hint="eastAsia"/>
        </w:rPr>
        <w:t>)</w:t>
      </w:r>
      <w:r>
        <w:rPr>
          <w:rFonts w:hint="eastAsia"/>
        </w:rPr>
        <w:t>×</w:t>
      </w:r>
      <w:r>
        <w:rPr>
          <w:rFonts w:hint="eastAsia"/>
        </w:rPr>
        <w:t xml:space="preserve"> 0.8 = </w:t>
      </w:r>
      <w:r>
        <w:rPr>
          <w:rFonts w:hint="eastAsia"/>
          <w:u w:val="single"/>
        </w:rPr>
        <w:t>3,051.54</w:t>
      </w:r>
      <w:r>
        <w:rPr>
          <w:rFonts w:hint="eastAsia"/>
        </w:rPr>
        <w:t>库纳。</w:t>
      </w:r>
    </w:p>
    <w:p w:rsidR="00000000" w:rsidRDefault="00000000">
      <w:pPr>
        <w:rPr>
          <w:rFonts w:hint="eastAsia"/>
        </w:rPr>
      </w:pPr>
      <w:r>
        <w:rPr>
          <w:rFonts w:hint="eastAsia"/>
        </w:rPr>
        <w:tab/>
      </w:r>
      <w:r>
        <w:rPr>
          <w:rFonts w:hint="eastAsia"/>
        </w:rPr>
        <w:t>如果我们假设配偶于</w:t>
      </w:r>
      <w:r>
        <w:rPr>
          <w:rFonts w:hint="eastAsia"/>
        </w:rPr>
        <w:t>1999</w:t>
      </w:r>
      <w:r>
        <w:rPr>
          <w:rFonts w:hint="eastAsia"/>
        </w:rPr>
        <w:t>年</w:t>
      </w:r>
      <w:r>
        <w:rPr>
          <w:rFonts w:hint="eastAsia"/>
        </w:rPr>
        <w:t>7</w:t>
      </w:r>
      <w:r>
        <w:rPr>
          <w:rFonts w:hint="eastAsia"/>
        </w:rPr>
        <w:t>月</w:t>
      </w:r>
      <w:r>
        <w:rPr>
          <w:rFonts w:hint="eastAsia"/>
        </w:rPr>
        <w:t>10</w:t>
      </w:r>
      <w:r>
        <w:rPr>
          <w:rFonts w:hint="eastAsia"/>
        </w:rPr>
        <w:t>开始就业，并从这天起获得个人养恤金</w:t>
      </w:r>
      <w:r>
        <w:rPr>
          <w:rFonts w:hint="eastAsia"/>
        </w:rPr>
        <w:t>(</w:t>
      </w:r>
      <w:r>
        <w:rPr>
          <w:rFonts w:hint="eastAsia"/>
        </w:rPr>
        <w:t>残疾或老年</w:t>
      </w:r>
      <w:r>
        <w:rPr>
          <w:rFonts w:hint="eastAsia"/>
        </w:rPr>
        <w:t>)</w:t>
      </w:r>
      <w:r>
        <w:rPr>
          <w:rFonts w:hint="eastAsia"/>
        </w:rPr>
        <w:t>，他</w:t>
      </w:r>
      <w:r>
        <w:rPr>
          <w:rFonts w:hint="eastAsia"/>
        </w:rPr>
        <w:t>/</w:t>
      </w:r>
      <w:r>
        <w:rPr>
          <w:rFonts w:hint="eastAsia"/>
        </w:rPr>
        <w:t>她就不再有权得到遗属养恤金。从这天起只有一名儿童有权享受</w:t>
      </w:r>
      <w:r>
        <w:rPr>
          <w:rFonts w:hint="eastAsia"/>
          <w:spacing w:val="-40"/>
          <w:sz w:val="22"/>
        </w:rPr>
        <w:t>——</w:t>
      </w:r>
      <w:r>
        <w:rPr>
          <w:sz w:val="22"/>
        </w:rPr>
        <w:t xml:space="preserve"> </w:t>
      </w:r>
      <w:r>
        <w:t xml:space="preserve"> </w:t>
      </w:r>
      <w:r>
        <w:rPr>
          <w:rFonts w:hint="eastAsia"/>
        </w:rPr>
        <w:t>一名遗属</w:t>
      </w:r>
      <w:r>
        <w:rPr>
          <w:rFonts w:hint="eastAsia"/>
          <w:spacing w:val="-40"/>
          <w:sz w:val="22"/>
        </w:rPr>
        <w:t>——</w:t>
      </w:r>
      <w:r>
        <w:rPr>
          <w:sz w:val="22"/>
        </w:rPr>
        <w:t xml:space="preserve"> </w:t>
      </w:r>
      <w:r>
        <w:rPr>
          <w:rFonts w:hint="eastAsia"/>
        </w:rPr>
        <w:t>养恤金系数</w:t>
      </w:r>
      <w:r>
        <w:rPr>
          <w:rFonts w:hint="eastAsia"/>
        </w:rPr>
        <w:t xml:space="preserve"> = 0.7</w:t>
      </w:r>
      <w:r>
        <w:rPr>
          <w:rFonts w:hint="eastAsia"/>
        </w:rPr>
        <w:t>。</w:t>
      </w:r>
    </w:p>
    <w:p w:rsidR="00000000" w:rsidRDefault="00000000">
      <w:pPr>
        <w:rPr>
          <w:rFonts w:hint="eastAsia"/>
        </w:rPr>
      </w:pPr>
      <w:r>
        <w:rPr>
          <w:rFonts w:hint="eastAsia"/>
        </w:rPr>
        <w:tab/>
        <w:t>1999</w:t>
      </w:r>
      <w:r>
        <w:rPr>
          <w:rFonts w:hint="eastAsia"/>
        </w:rPr>
        <w:t>年</w:t>
      </w:r>
      <w:r>
        <w:rPr>
          <w:rFonts w:hint="eastAsia"/>
        </w:rPr>
        <w:t>7</w:t>
      </w:r>
      <w:r>
        <w:rPr>
          <w:rFonts w:hint="eastAsia"/>
        </w:rPr>
        <w:t>月的普通残疾养恤金假定金额</w:t>
      </w:r>
      <w:r>
        <w:rPr>
          <w:rFonts w:hint="eastAsia"/>
          <w:spacing w:val="-40"/>
          <w:sz w:val="22"/>
        </w:rPr>
        <w:t>——</w:t>
      </w:r>
      <w:r>
        <w:rPr>
          <w:sz w:val="22"/>
        </w:rPr>
        <w:t xml:space="preserve"> </w:t>
      </w:r>
      <w:r>
        <w:rPr>
          <w:rFonts w:hint="eastAsia"/>
        </w:rPr>
        <w:t>3,814.43</w:t>
      </w:r>
      <w:r>
        <w:rPr>
          <w:rFonts w:hint="eastAsia"/>
        </w:rPr>
        <w:t>库纳。</w:t>
      </w:r>
    </w:p>
    <w:p w:rsidR="00000000" w:rsidRDefault="00000000">
      <w:pPr>
        <w:rPr>
          <w:rFonts w:hint="eastAsia"/>
        </w:rPr>
      </w:pPr>
      <w:r>
        <w:rPr>
          <w:rFonts w:hint="eastAsia"/>
        </w:rPr>
        <w:tab/>
        <w:t xml:space="preserve">3,814.43 </w:t>
      </w:r>
      <w:r>
        <w:rPr>
          <w:rFonts w:hint="eastAsia"/>
        </w:rPr>
        <w:t>×</w:t>
      </w:r>
      <w:r>
        <w:rPr>
          <w:rFonts w:hint="eastAsia"/>
        </w:rPr>
        <w:t xml:space="preserve"> 0.7 = </w:t>
      </w:r>
      <w:r>
        <w:rPr>
          <w:rFonts w:hint="eastAsia"/>
          <w:u w:val="single"/>
        </w:rPr>
        <w:t>2,670.10</w:t>
      </w:r>
      <w:r>
        <w:rPr>
          <w:rFonts w:hint="eastAsia"/>
        </w:rPr>
        <w:t>库纳</w:t>
      </w:r>
      <w:r>
        <w:rPr>
          <w:rFonts w:hint="eastAsia"/>
        </w:rPr>
        <w:t>(</w:t>
      </w:r>
      <w:r>
        <w:rPr>
          <w:rFonts w:hint="eastAsia"/>
        </w:rPr>
        <w:t>从</w:t>
      </w:r>
      <w:r>
        <w:rPr>
          <w:rFonts w:hint="eastAsia"/>
        </w:rPr>
        <w:t>1999</w:t>
      </w:r>
      <w:r>
        <w:rPr>
          <w:rFonts w:hint="eastAsia"/>
        </w:rPr>
        <w:t>年</w:t>
      </w:r>
      <w:r>
        <w:rPr>
          <w:rFonts w:hint="eastAsia"/>
        </w:rPr>
        <w:t>7</w:t>
      </w:r>
      <w:r>
        <w:rPr>
          <w:rFonts w:hint="eastAsia"/>
        </w:rPr>
        <w:t>月</w:t>
      </w:r>
      <w:r>
        <w:rPr>
          <w:rFonts w:hint="eastAsia"/>
        </w:rPr>
        <w:t>10</w:t>
      </w:r>
      <w:r>
        <w:rPr>
          <w:rFonts w:hint="eastAsia"/>
        </w:rPr>
        <w:t>日起一名遗属</w:t>
      </w:r>
      <w:r>
        <w:rPr>
          <w:rFonts w:hint="eastAsia"/>
        </w:rPr>
        <w:t>)</w:t>
      </w:r>
      <w:r>
        <w:rPr>
          <w:rFonts w:hint="eastAsia"/>
        </w:rPr>
        <w:t>。</w:t>
      </w:r>
    </w:p>
    <w:p w:rsidR="00000000" w:rsidRDefault="00000000">
      <w:pPr>
        <w:spacing w:after="240"/>
        <w:rPr>
          <w:rFonts w:hint="eastAsia"/>
        </w:rPr>
      </w:pPr>
      <w:r>
        <w:rPr>
          <w:rFonts w:hint="eastAsia"/>
        </w:rPr>
        <w:tab/>
      </w:r>
      <w:r>
        <w:rPr>
          <w:rFonts w:hint="eastAsia"/>
        </w:rPr>
        <w:t>养恤金受益人死亡后的遗属养恤金以养恤金系数从意外事故发生之月应付给受益人的实际养恤金月金额中算出，而养恤金系数则取决于有权享受的遗属人数，从事故发生之日起遗属有权享受遗属养恤金。</w:t>
      </w:r>
    </w:p>
    <w:p w:rsidR="00000000" w:rsidRDefault="00000000">
      <w:pPr>
        <w:pStyle w:val="Heading4"/>
        <w:rPr>
          <w:rFonts w:hint="eastAsia"/>
          <w:u w:val="none"/>
        </w:rPr>
      </w:pPr>
      <w:r>
        <w:rPr>
          <w:rFonts w:hint="eastAsia"/>
        </w:rPr>
        <w:t>基本养恤金</w:t>
      </w:r>
      <w:r>
        <w:rPr>
          <w:rFonts w:hint="eastAsia"/>
        </w:rPr>
        <w:t>(</w:t>
      </w:r>
      <w:r>
        <w:rPr>
          <w:rFonts w:hint="eastAsia"/>
        </w:rPr>
        <w:t>老年和预付养恤金</w:t>
      </w:r>
      <w:r>
        <w:rPr>
          <w:rFonts w:hint="eastAsia"/>
          <w:u w:val="none"/>
        </w:rPr>
        <w:t>)</w:t>
      </w:r>
    </w:p>
    <w:p w:rsidR="00000000" w:rsidRDefault="00000000">
      <w:pPr>
        <w:rPr>
          <w:rFonts w:hint="eastAsia"/>
        </w:rPr>
      </w:pPr>
      <w:r>
        <w:rPr>
          <w:rFonts w:hint="eastAsia"/>
        </w:rPr>
        <w:tab/>
      </w:r>
      <w:r>
        <w:rPr>
          <w:rFonts w:hint="eastAsia"/>
        </w:rPr>
        <w:t>这种第一支柱养恤金的计算法只是用于保险期，因为一个人在保险期内同时受保第一代间支持支柱和个人资本化储蓄的第二支柱，这项办法将从</w:t>
      </w:r>
      <w:r>
        <w:rPr>
          <w:rFonts w:hint="eastAsia"/>
        </w:rPr>
        <w:t>2000</w:t>
      </w:r>
      <w:r>
        <w:rPr>
          <w:rFonts w:hint="eastAsia"/>
        </w:rPr>
        <w:t>年</w:t>
      </w:r>
      <w:r>
        <w:rPr>
          <w:rFonts w:hint="eastAsia"/>
        </w:rPr>
        <w:t>7</w:t>
      </w:r>
      <w:r>
        <w:rPr>
          <w:rFonts w:hint="eastAsia"/>
        </w:rPr>
        <w:t>月</w:t>
      </w:r>
      <w:r>
        <w:rPr>
          <w:rFonts w:hint="eastAsia"/>
        </w:rPr>
        <w:t>1</w:t>
      </w:r>
      <w:r>
        <w:rPr>
          <w:rFonts w:hint="eastAsia"/>
        </w:rPr>
        <w:t>日起适用。基本养恤金为根据《养恤金保险法案》所应付的老年或预付养恤金各部分，它按实行第二支柱后完成的合格期从第一支柱中支付，同时根据同期保险时增付的交款从第二支柱中支付第二部分的养恤金。由于第二支柱将在约</w:t>
      </w:r>
      <w:r>
        <w:rPr>
          <w:rFonts w:hint="eastAsia"/>
        </w:rPr>
        <w:t>15</w:t>
      </w:r>
      <w:r>
        <w:rPr>
          <w:rFonts w:hint="eastAsia"/>
        </w:rPr>
        <w:t>至</w:t>
      </w:r>
      <w:r>
        <w:rPr>
          <w:rFonts w:hint="eastAsia"/>
        </w:rPr>
        <w:t>20</w:t>
      </w:r>
      <w:r>
        <w:rPr>
          <w:rFonts w:hint="eastAsia"/>
        </w:rPr>
        <w:t>年的时间里产生第一次利益，因此第一次基本养恤金将在这时出现。</w:t>
      </w:r>
    </w:p>
    <w:p w:rsidR="00000000" w:rsidRDefault="00000000">
      <w:pPr>
        <w:rPr>
          <w:rFonts w:hint="eastAsia"/>
        </w:rPr>
      </w:pPr>
      <w:r>
        <w:rPr>
          <w:rFonts w:hint="eastAsia"/>
        </w:rPr>
        <w:tab/>
      </w:r>
      <w:r>
        <w:rPr>
          <w:rFonts w:hint="eastAsia"/>
        </w:rPr>
        <w:t>基本养恤金等于实行第二支柱保险后每年完成合格期的所有就业人员在上一年平均工资总额的</w:t>
      </w:r>
      <w:r>
        <w:rPr>
          <w:rFonts w:hint="eastAsia"/>
        </w:rPr>
        <w:t>0.25%</w:t>
      </w:r>
      <w:r>
        <w:rPr>
          <w:rFonts w:hint="eastAsia"/>
        </w:rPr>
        <w:t>加实行第二支柱保险后实现的个人分数实际养恤金价值的</w:t>
      </w:r>
      <w:r>
        <w:rPr>
          <w:rFonts w:hint="eastAsia"/>
        </w:rPr>
        <w:t>0.25%</w:t>
      </w:r>
      <w:r>
        <w:rPr>
          <w:rFonts w:hint="eastAsia"/>
        </w:rPr>
        <w:t>。</w:t>
      </w:r>
    </w:p>
    <w:p w:rsidR="00000000" w:rsidRDefault="00000000">
      <w:pPr>
        <w:spacing w:after="240"/>
        <w:rPr>
          <w:rFonts w:hint="eastAsia"/>
        </w:rPr>
      </w:pPr>
      <w:r>
        <w:rPr>
          <w:rFonts w:hint="eastAsia"/>
        </w:rPr>
        <w:tab/>
      </w:r>
      <w:r>
        <w:rPr>
          <w:rFonts w:hint="eastAsia"/>
        </w:rPr>
        <w:t>残疾养恤金和被保险人死亡后的遗属养恤金不按基本养恤金金额确定，而是根据完全保险期按正常养恤金金额确定－如同向第一支柱所交的所有款项一样，付给额外强制老年养恤金保险的款项将转到养恤金保险局。但是，如果第一支柱基本残疾或遗属养恤金总加到第二支柱额外养恤金后会使金额更有利于受益人，那么应付的第一支柱养恤金将成为基本养恤金，而不是正常养恤金。</w:t>
      </w:r>
    </w:p>
    <w:p w:rsidR="00000000" w:rsidRDefault="00000000">
      <w:pPr>
        <w:pStyle w:val="Heading4"/>
        <w:rPr>
          <w:rFonts w:hint="eastAsia"/>
        </w:rPr>
      </w:pPr>
      <w:r>
        <w:rPr>
          <w:rFonts w:hint="eastAsia"/>
        </w:rPr>
        <w:t>其他利益</w:t>
      </w:r>
    </w:p>
    <w:p w:rsidR="00000000" w:rsidRDefault="00000000">
      <w:pPr>
        <w:rPr>
          <w:rFonts w:hint="eastAsia"/>
        </w:rPr>
      </w:pPr>
      <w:r>
        <w:rPr>
          <w:rFonts w:hint="eastAsia"/>
        </w:rPr>
        <w:tab/>
      </w:r>
      <w:r>
        <w:rPr>
          <w:rFonts w:hint="eastAsia"/>
          <w:u w:val="single"/>
        </w:rPr>
        <w:t>职业康复的工资补偿</w:t>
      </w:r>
      <w:r>
        <w:rPr>
          <w:rFonts w:hint="eastAsia"/>
        </w:rPr>
        <w:t xml:space="preserve">. </w:t>
      </w:r>
      <w:r>
        <w:rPr>
          <w:rFonts w:hint="eastAsia"/>
        </w:rPr>
        <w:t>如果发生工伤残疾，按残疾养恤金的金额，但如果工伤残疾因工伤或职业病造成，则按</w:t>
      </w:r>
      <w:r>
        <w:rPr>
          <w:rFonts w:hint="eastAsia"/>
        </w:rPr>
        <w:t>40</w:t>
      </w:r>
      <w:r>
        <w:rPr>
          <w:rFonts w:hint="eastAsia"/>
        </w:rPr>
        <w:t>年合格期所获得普通残疾养恤金为金额。</w:t>
      </w:r>
    </w:p>
    <w:p w:rsidR="00000000" w:rsidRDefault="00000000">
      <w:pPr>
        <w:rPr>
          <w:rFonts w:hint="eastAsia"/>
        </w:rPr>
      </w:pPr>
      <w:r>
        <w:rPr>
          <w:rFonts w:hint="eastAsia"/>
        </w:rPr>
        <w:tab/>
      </w:r>
      <w:r>
        <w:rPr>
          <w:rFonts w:hint="eastAsia"/>
          <w:u w:val="single"/>
        </w:rPr>
        <w:t>身体伤害补偿金</w:t>
      </w:r>
      <w:r>
        <w:rPr>
          <w:rFonts w:hint="eastAsia"/>
        </w:rPr>
        <w:t xml:space="preserve">. </w:t>
      </w:r>
      <w:r>
        <w:rPr>
          <w:rFonts w:hint="eastAsia"/>
        </w:rPr>
        <w:t>这笔津贴与按工伤或职业病发放的津贴一样，不取决于所完成合格期长短。它取决于身体伤害的程度，按此用基数算出百分比。基数有养恤金保险局的一般条例确定。</w:t>
      </w:r>
    </w:p>
    <w:p w:rsidR="00000000" w:rsidRDefault="00000000">
      <w:pPr>
        <w:spacing w:after="240"/>
        <w:rPr>
          <w:rFonts w:hint="eastAsia"/>
        </w:rPr>
      </w:pPr>
      <w:r>
        <w:rPr>
          <w:rFonts w:hint="eastAsia"/>
        </w:rPr>
        <w:tab/>
      </w:r>
      <w:r>
        <w:rPr>
          <w:rFonts w:hint="eastAsia"/>
          <w:u w:val="single"/>
        </w:rPr>
        <w:t>津贴的调整</w:t>
      </w:r>
      <w:r>
        <w:rPr>
          <w:rFonts w:hint="eastAsia"/>
        </w:rPr>
        <w:t xml:space="preserve">. </w:t>
      </w:r>
      <w:r>
        <w:rPr>
          <w:rFonts w:hint="eastAsia"/>
        </w:rPr>
        <w:t>请见“津贴计算法”标题下的实际养恤金价值。</w:t>
      </w:r>
    </w:p>
    <w:p w:rsidR="00000000" w:rsidRDefault="00000000">
      <w:pPr>
        <w:pStyle w:val="Heading4"/>
        <w:rPr>
          <w:rFonts w:hint="eastAsia"/>
        </w:rPr>
      </w:pPr>
      <w:r>
        <w:rPr>
          <w:rFonts w:hint="eastAsia"/>
        </w:rPr>
        <w:t>行政组织</w:t>
      </w:r>
    </w:p>
    <w:p w:rsidR="00000000" w:rsidRDefault="00000000">
      <w:pPr>
        <w:rPr>
          <w:rFonts w:hint="eastAsia"/>
        </w:rPr>
      </w:pPr>
      <w:r>
        <w:rPr>
          <w:rFonts w:hint="eastAsia"/>
        </w:rPr>
        <w:tab/>
      </w:r>
      <w:r>
        <w:rPr>
          <w:rFonts w:hint="eastAsia"/>
          <w:u w:val="single"/>
        </w:rPr>
        <w:t>一般监督</w:t>
      </w:r>
      <w:r>
        <w:rPr>
          <w:rFonts w:hint="eastAsia"/>
        </w:rPr>
        <w:t>：劳动和社会福利部。</w:t>
      </w:r>
    </w:p>
    <w:p w:rsidR="00000000" w:rsidRDefault="00000000">
      <w:pPr>
        <w:rPr>
          <w:rFonts w:hint="eastAsia"/>
        </w:rPr>
      </w:pPr>
      <w:r>
        <w:rPr>
          <w:rFonts w:hint="eastAsia"/>
        </w:rPr>
        <w:tab/>
      </w:r>
      <w:r>
        <w:rPr>
          <w:rFonts w:hint="eastAsia"/>
          <w:u w:val="single"/>
        </w:rPr>
        <w:t>组织和管理</w:t>
      </w:r>
      <w:r>
        <w:rPr>
          <w:rFonts w:hint="eastAsia"/>
        </w:rPr>
        <w:t>：克罗地亚养恤金保险局是一个公共机构，具有法人地位，在收取交款和作出养恤金保险决定方面具有公共授权。它至少每年一次向劳动和福利部以及克罗地亚国会、被保险人和养恤金保险受益人提交它的工作报告。</w:t>
      </w:r>
    </w:p>
    <w:p w:rsidR="00000000" w:rsidRDefault="00000000">
      <w:r>
        <w:rPr>
          <w:rFonts w:hint="eastAsia"/>
        </w:rPr>
        <w:tab/>
      </w:r>
      <w:r>
        <w:rPr>
          <w:rFonts w:hint="eastAsia"/>
        </w:rPr>
        <w:t>管理委员会提交保险局状况，但必须经克罗地亚国会核准。</w:t>
      </w:r>
    </w:p>
    <w:p w:rsidR="00000000" w:rsidRDefault="00000000">
      <w:pPr>
        <w:rPr>
          <w:rFonts w:hint="eastAsia"/>
        </w:rPr>
      </w:pPr>
      <w:r>
        <w:tab/>
      </w:r>
      <w:r>
        <w:rPr>
          <w:rFonts w:hint="eastAsia"/>
        </w:rPr>
        <w:t>管理委员会有</w:t>
      </w:r>
      <w:r>
        <w:rPr>
          <w:rFonts w:hint="eastAsia"/>
        </w:rPr>
        <w:t>13</w:t>
      </w:r>
      <w:r>
        <w:rPr>
          <w:rFonts w:hint="eastAsia"/>
        </w:rPr>
        <w:t>名政府任命的委员，任期四年：</w:t>
      </w:r>
      <w:r>
        <w:rPr>
          <w:rFonts w:hint="eastAsia"/>
        </w:rPr>
        <w:t>7</w:t>
      </w:r>
      <w:r>
        <w:rPr>
          <w:rFonts w:hint="eastAsia"/>
        </w:rPr>
        <w:t>名委员由劳动部提名，</w:t>
      </w:r>
      <w:r>
        <w:rPr>
          <w:rFonts w:hint="eastAsia"/>
        </w:rPr>
        <w:t>2</w:t>
      </w:r>
      <w:r>
        <w:rPr>
          <w:rFonts w:hint="eastAsia"/>
        </w:rPr>
        <w:t>名委员由被保险人协会提名，</w:t>
      </w:r>
      <w:r>
        <w:rPr>
          <w:rFonts w:hint="eastAsia"/>
        </w:rPr>
        <w:t>2</w:t>
      </w:r>
      <w:r>
        <w:rPr>
          <w:rFonts w:hint="eastAsia"/>
        </w:rPr>
        <w:t>名委员由保险受益人协会提名，</w:t>
      </w:r>
      <w:r>
        <w:rPr>
          <w:rFonts w:hint="eastAsia"/>
        </w:rPr>
        <w:t>2</w:t>
      </w:r>
      <w:r>
        <w:rPr>
          <w:rFonts w:hint="eastAsia"/>
        </w:rPr>
        <w:t>名由雇主协会提名。</w:t>
      </w:r>
    </w:p>
    <w:p w:rsidR="00000000" w:rsidRDefault="00000000">
      <w:r>
        <w:rPr>
          <w:rFonts w:hint="eastAsia"/>
        </w:rPr>
        <w:tab/>
      </w:r>
      <w:r>
        <w:rPr>
          <w:rFonts w:hint="eastAsia"/>
        </w:rPr>
        <w:t>局长及其助理由政府任命。</w:t>
      </w:r>
    </w:p>
    <w:p w:rsidR="00000000" w:rsidRDefault="00000000">
      <w:pPr>
        <w:rPr>
          <w:rFonts w:hint="eastAsia"/>
        </w:rPr>
      </w:pPr>
      <w:r>
        <w:tab/>
      </w:r>
      <w:r>
        <w:rPr>
          <w:rFonts w:hint="eastAsia"/>
        </w:rPr>
        <w:t>行政活动由养恤金保险局行政处从事，该处有一个中央股和若干地方股组成。</w:t>
      </w:r>
    </w:p>
    <w:p w:rsidR="00000000" w:rsidRDefault="00000000">
      <w:r>
        <w:rPr>
          <w:rFonts w:hint="eastAsia"/>
        </w:rPr>
        <w:tab/>
      </w:r>
      <w:r>
        <w:rPr>
          <w:rFonts w:hint="eastAsia"/>
          <w:u w:val="single"/>
        </w:rPr>
        <w:t>程序</w:t>
      </w:r>
      <w:r>
        <w:rPr>
          <w:rFonts w:hint="eastAsia"/>
        </w:rPr>
        <w:t>：两个层次的程序</w:t>
      </w:r>
      <w:r>
        <w:rPr>
          <w:rFonts w:hint="eastAsia"/>
          <w:spacing w:val="-40"/>
          <w:sz w:val="22"/>
        </w:rPr>
        <w:t>——</w:t>
      </w:r>
      <w:r>
        <w:rPr>
          <w:sz w:val="22"/>
        </w:rPr>
        <w:t xml:space="preserve"> </w:t>
      </w:r>
      <w:r>
        <w:rPr>
          <w:rFonts w:hint="eastAsia"/>
        </w:rPr>
        <w:t>上诉权。司法保护：对克罗地亚养恤金保险局作出的第二级决定－能够向行政法庭起诉。</w:t>
      </w:r>
    </w:p>
    <w:p w:rsidR="00000000" w:rsidRDefault="00000000">
      <w:r>
        <w:tab/>
      </w:r>
      <w:r>
        <w:rPr>
          <w:rFonts w:hint="eastAsia"/>
          <w:u w:val="single"/>
        </w:rPr>
        <w:t>无力清偿时的保障</w:t>
      </w:r>
      <w:r>
        <w:rPr>
          <w:rFonts w:hint="eastAsia"/>
        </w:rPr>
        <w:t>：国家预算。</w:t>
      </w:r>
    </w:p>
    <w:p w:rsidR="00000000" w:rsidRDefault="00000000">
      <w:pPr>
        <w:spacing w:after="240"/>
        <w:rPr>
          <w:rFonts w:hint="eastAsia"/>
          <w:u w:val="single"/>
        </w:rPr>
      </w:pPr>
      <w:r>
        <w:rPr>
          <w:rFonts w:hint="eastAsia"/>
          <w:u w:val="single"/>
        </w:rPr>
        <w:t xml:space="preserve">                                                                   </w:t>
      </w:r>
    </w:p>
    <w:p w:rsidR="00000000" w:rsidRDefault="00000000">
      <w:pPr>
        <w:spacing w:after="240"/>
        <w:rPr>
          <w:rFonts w:hint="eastAsia"/>
        </w:rPr>
      </w:pPr>
      <w:r>
        <w:rPr>
          <w:rFonts w:hint="eastAsia"/>
        </w:rPr>
        <w:t>克罗地亚养恤金保险局</w:t>
      </w:r>
    </w:p>
    <w:p w:rsidR="00000000" w:rsidRDefault="00000000">
      <w:pPr>
        <w:spacing w:after="240"/>
        <w:rPr>
          <w:rFonts w:hint="eastAsia"/>
        </w:rPr>
      </w:pPr>
    </w:p>
    <w:p w:rsidR="00000000" w:rsidRDefault="00000000">
      <w:pPr>
        <w:spacing w:after="240"/>
        <w:rPr>
          <w:rFonts w:hint="eastAsia"/>
        </w:rPr>
      </w:pPr>
    </w:p>
    <w:p w:rsidR="00000000" w:rsidRDefault="00000000">
      <w:pPr>
        <w:jc w:val="center"/>
      </w:pPr>
      <w:r>
        <w:t>--  --  --  --  --</w:t>
      </w:r>
    </w:p>
    <w:sectPr w:rsidR="00000000">
      <w:headerReference w:type="even" r:id="rId15"/>
      <w:headerReference w:type="default" r:id="rId16"/>
      <w:endnotePr>
        <w:numFmt w:val="decimal"/>
      </w:endnotePr>
      <w:pgSz w:w="11906" w:h="16838" w:code="9"/>
      <w:pgMar w:top="1985" w:right="851" w:bottom="1985" w:left="1701" w:header="794" w:footer="1588"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Fonts w:ascii="SimHei" w:eastAsia="SimHei"/>
        <w:noProof/>
      </w:rPr>
      <w:pict>
        <v:rect id="_x0000_s1036" style="position:absolute;margin-left:672pt;margin-top:-70pt;width:36.4pt;height:459.7pt;z-index:6" filled="f" stroked="f">
          <v:textbox style="layout-flow:vertical-ideographic;mso-next-textbox:#_x0000_s1036" inset="1pt,1pt,1pt,1pt">
            <w:txbxContent>
              <w:p w:rsidR="00000000" w:rsidRDefault="00000000">
                <w:pPr>
                  <w:pStyle w:val="1R2"/>
                  <w:rPr>
                    <w:lang w:val="fr-FR"/>
                  </w:rPr>
                </w:pPr>
                <w:r>
                  <w:rPr>
                    <w:lang w:val="fr-FR"/>
                  </w:rPr>
                  <w:t>E/1990/</w:t>
                </w:r>
                <w:r>
                  <w:rPr>
                    <w:rFonts w:hint="eastAsia"/>
                    <w:lang w:val="fr-FR"/>
                  </w:rPr>
                  <w:t>5/</w:t>
                </w:r>
                <w:r>
                  <w:rPr>
                    <w:lang w:val="fr-FR"/>
                  </w:rPr>
                  <w:t xml:space="preserve">Add.46 </w:t>
                </w:r>
              </w:p>
              <w:p w:rsidR="00000000" w:rsidRDefault="00000000">
                <w:pPr>
                  <w:pStyle w:val="1R2"/>
                  <w:rPr>
                    <w:rFonts w:hint="eastAsia"/>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13</w:t>
                </w:r>
                <w:r>
                  <w:rPr>
                    <w:rStyle w:val="PageNumber"/>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 0</w:t>
    </w:r>
    <w:r>
      <w:rPr>
        <w:rFonts w:hint="eastAsia"/>
      </w:rPr>
      <w:t>0</w:t>
    </w:r>
    <w:r>
      <w:t>-</w:t>
    </w:r>
    <w:r>
      <w:rPr>
        <w:rFonts w:hint="eastAsia"/>
      </w:rPr>
      <w:t>44135</w:t>
    </w:r>
    <w:r>
      <w:t xml:space="preserve"> (C)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rPr>
      </w:pPr>
      <w:r>
        <w:rPr>
          <w:rStyle w:val="FootnoteReference"/>
          <w:vertAlign w:val="baseline"/>
        </w:rPr>
        <w:t>*</w:t>
      </w:r>
      <w:r>
        <w:t xml:space="preserve">   </w:t>
      </w:r>
      <w:r>
        <w:rPr>
          <w:rFonts w:hint="eastAsia"/>
        </w:rPr>
        <w:t>克罗地亚根据缔约国报告开始部分编写指南提交的资料载于核心文件</w:t>
      </w:r>
      <w:r>
        <w:rPr>
          <w:rFonts w:hint="eastAsia"/>
        </w:rPr>
        <w:t>(HRI/ CORE/1/A</w:t>
      </w:r>
      <w:r>
        <w:t>dd.</w:t>
      </w:r>
      <w:r>
        <w:rPr>
          <w:rFonts w:hint="eastAsia"/>
        </w:rPr>
        <w:t>32</w:t>
      </w:r>
      <w:r>
        <w:t>/Rev</w:t>
      </w:r>
      <w:r>
        <w:rPr>
          <w:rFonts w:hint="eastAsia"/>
        </w:rPr>
        <w:t>.1)</w:t>
      </w:r>
      <w:r>
        <w:rPr>
          <w:rFonts w:hint="eastAsia"/>
        </w:rPr>
        <w:t>。</w:t>
      </w:r>
    </w:p>
  </w:footnote>
  <w:footnote w:id="2">
    <w:p w:rsidR="00000000" w:rsidRDefault="00000000">
      <w:pPr>
        <w:pStyle w:val="FootnoteText"/>
      </w:pPr>
      <w:r>
        <w:rPr>
          <w:rStyle w:val="FootnoteReference"/>
          <w:vertAlign w:val="baseline"/>
        </w:rPr>
        <w:t>**</w:t>
      </w:r>
      <w:r>
        <w:t xml:space="preserve">   </w:t>
      </w:r>
      <w:r>
        <w:rPr>
          <w:rFonts w:hint="eastAsia"/>
        </w:rPr>
        <w:t>本报告附件可向委员会秘书处索取。</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rFonts w:hint="eastAsia"/>
        <w:lang w:val="fr-FR"/>
      </w:rPr>
    </w:pPr>
    <w:r>
      <w:rPr>
        <w:lang w:val="fr-FR"/>
      </w:rPr>
      <w:t>E/</w:t>
    </w:r>
    <w:r>
      <w:rPr>
        <w:rFonts w:ascii="SimHei" w:eastAsia="SimHei"/>
        <w:noProof/>
        <w:lang w:val="fr-FR"/>
      </w:rPr>
      <w:pict>
        <v:rect id="_x0000_s1037" style="position:absolute;margin-left:669.5pt;margin-top:45.35pt;width:32.6pt;height:415.75pt;z-index:7;mso-position-horizontal-relative:text;mso-position-vertical-relative:text" o:allowincell="f" filled="f" stroked="f">
          <v:textbox style="layout-flow:vertical-ideographic;mso-next-textbox:#_x0000_s1037" inset="1pt,1pt,1pt,1pt">
            <w:txbxContent>
              <w:p w:rsidR="00000000" w:rsidRDefault="00000000">
                <w:pPr>
                  <w:pStyle w:val="1R2"/>
                  <w:rPr>
                    <w:rFonts w:hint="eastAsia"/>
                    <w:lang w:val="fr-FR"/>
                  </w:rPr>
                </w:pPr>
                <w:r>
                  <w:rPr>
                    <w:lang w:val="fr-FR"/>
                  </w:rPr>
                  <w:t>E/1990/</w:t>
                </w:r>
                <w:r>
                  <w:rPr>
                    <w:rFonts w:hint="eastAsia"/>
                    <w:lang w:val="fr-FR"/>
                  </w:rPr>
                  <w:t>5/</w:t>
                </w:r>
                <w:r>
                  <w:rPr>
                    <w:lang w:val="fr-FR"/>
                  </w:rPr>
                  <w:t>Add.46</w:t>
                </w:r>
              </w:p>
              <w:p w:rsidR="00000000" w:rsidRDefault="00000000">
                <w:pPr>
                  <w:pStyle w:val="1R2"/>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14</w:t>
                </w:r>
                <w:r>
                  <w:rPr>
                    <w:rStyle w:val="PageNumber"/>
                  </w:rPr>
                  <w:fldChar w:fldCharType="end"/>
                </w:r>
              </w:p>
              <w:p w:rsidR="00000000" w:rsidRDefault="00000000">
                <w:pPr>
                  <w:pStyle w:val="1R2"/>
                  <w:rPr>
                    <w:lang w:val="fr-FR"/>
                  </w:rPr>
                </w:pPr>
              </w:p>
            </w:txbxContent>
          </v:textbox>
        </v:rect>
      </w:pict>
    </w:r>
    <w:r>
      <w:rPr>
        <w:lang w:val="fr-FR"/>
      </w:rPr>
      <w:t>1990/</w:t>
    </w:r>
    <w:r>
      <w:rPr>
        <w:rFonts w:hint="eastAsia"/>
        <w:lang w:val="fr-FR"/>
      </w:rPr>
      <w:t>5/</w:t>
    </w:r>
    <w:r>
      <w:rPr>
        <w:lang w:val="fr-FR"/>
      </w:rPr>
      <w:t>Add.46</w:t>
    </w:r>
  </w:p>
  <w:p w:rsidR="00000000" w:rsidRDefault="00000000">
    <w:pPr>
      <w:pStyle w:val="1R2"/>
      <w:framePr w:w="0" w:hRule="auto" w:hSpace="0" w:wrap="auto" w:vAnchor="margin" w:hAnchor="text" w:xAlign="left" w:yAlign="inline"/>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rFonts w:hint="eastAsia"/>
        <w:lang w:val="fr-FR"/>
      </w:rPr>
    </w:pPr>
    <w:r>
      <w:rPr>
        <w:lang w:val="fr-FR"/>
      </w:rPr>
      <w:tab/>
    </w:r>
    <w:r>
      <w:rPr>
        <w:lang w:val="fr-FR"/>
      </w:rPr>
      <w:tab/>
    </w:r>
    <w:r>
      <w:rPr>
        <w:lang w:val="fr-FR"/>
      </w:rPr>
      <w:tab/>
    </w:r>
    <w:r>
      <w:rPr>
        <w:lang w:val="fr-FR"/>
      </w:rPr>
      <w:tab/>
      <w:t>E/1990/</w:t>
    </w:r>
    <w:r>
      <w:rPr>
        <w:rFonts w:hint="eastAsia"/>
        <w:lang w:val="fr-FR"/>
      </w:rPr>
      <w:t>5/</w:t>
    </w:r>
    <w:r>
      <w:rPr>
        <w:lang w:val="fr-FR"/>
      </w:rPr>
      <w:t>Add.46</w:t>
    </w:r>
  </w:p>
  <w:p w:rsidR="00000000" w:rsidRDefault="00000000">
    <w:pPr>
      <w:pStyle w:val="1R2"/>
      <w:framePr w:w="0" w:hRule="auto" w:hSpace="0" w:wrap="auto" w:vAnchor="margin" w:hAnchor="text" w:xAlign="left" w:yAlign="inline"/>
      <w:rPr>
        <w:lang w:val="fr-FR"/>
      </w:rPr>
    </w:pPr>
    <w:r>
      <w:rPr>
        <w:lang w:val="fr-FR"/>
      </w:rPr>
      <w:tab/>
    </w:r>
    <w:r>
      <w:rPr>
        <w:lang w:val="fr-FR"/>
      </w:rPr>
      <w:tab/>
    </w:r>
    <w:r>
      <w:rPr>
        <w:lang w:val="fr-FR"/>
      </w:rPr>
      <w:tab/>
    </w:r>
    <w:r>
      <w:rPr>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13</w:t>
    </w:r>
    <w:r>
      <w:rPr>
        <w:rStyle w:val="PageNumber"/>
      </w:rPr>
      <w:fldChar w:fldCharType="end"/>
    </w:r>
  </w:p>
  <w:p w:rsidR="00000000" w:rsidRDefault="00000000">
    <w:pPr>
      <w:pStyle w:val="1R2"/>
      <w:framePr w:w="0" w:hRule="auto" w:hSpace="0" w:wrap="auto" w:vAnchor="margin" w:hAnchor="text" w:xAlign="left" w:yAlign="inlin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r>
      <w:rPr>
        <w:noProof/>
      </w:rPr>
      <w:pict>
        <v:rect id="_x0000_s1025" style="position:absolute;margin-left:541.05pt;margin-top:59.05pt;width:30.05pt;height:36pt;z-index:-9;mso-position-horizontal-relative:page;mso-position-vertical-relative:page" o:allowincell="f" filled="f" stroked="f" strokeweight="0">
          <v:textbox style="mso-next-textbox:#_x0000_s1025"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a1"/>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8;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r>
      <w:pict>
        <v:rect id="_x0000_s1029" style="position:absolute;margin-left:66.7pt;margin-top:110.5pt;width:66.05pt;height:56pt;z-index:-5;mso-position-horizontal-relative:page;mso-position-vertical-relative:page" o:allowincell="f" filled="f" stroked="f" strokeweight="0">
          <v:textbox style="mso-next-textbox:#_x0000_s1029"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rPr>
        <w:rFonts w:hint="eastAsia"/>
      </w:rPr>
    </w:pPr>
    <w:r>
      <w:t>GENERAL</w:t>
    </w:r>
  </w:p>
  <w:p w:rsidR="00000000" w:rsidRDefault="00000000">
    <w:pPr>
      <w:pStyle w:val="1R2"/>
      <w:framePr w:wrap="around"/>
    </w:pPr>
  </w:p>
  <w:p w:rsidR="00000000" w:rsidRDefault="00000000">
    <w:pPr>
      <w:pStyle w:val="1R2"/>
      <w:framePr w:wrap="around"/>
      <w:rPr>
        <w:rFonts w:hint="eastAsia"/>
      </w:rPr>
    </w:pPr>
    <w:r>
      <w:t>E/1990/</w:t>
    </w:r>
    <w:r>
      <w:rPr>
        <w:rFonts w:hint="eastAsia"/>
      </w:rPr>
      <w:t>5/</w:t>
    </w:r>
    <w:r>
      <w:t>Add.46</w:t>
    </w:r>
  </w:p>
  <w:p w:rsidR="00000000" w:rsidRDefault="00000000">
    <w:pPr>
      <w:pStyle w:val="1R2"/>
      <w:framePr w:wrap="around"/>
      <w:rPr>
        <w:rFonts w:hint="eastAsia"/>
      </w:rPr>
    </w:pPr>
    <w:r>
      <w:rPr>
        <w:rFonts w:hint="eastAsia"/>
      </w:rPr>
      <w:t xml:space="preserve">21 </w:t>
    </w:r>
    <w:r>
      <w:t>August 2000</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1"/>
    </w:pPr>
  </w:p>
  <w:p w:rsidR="00000000" w:rsidRDefault="00000000">
    <w:pPr>
      <w:pStyle w:val="a1"/>
    </w:pPr>
  </w:p>
  <w:p w:rsidR="00000000" w:rsidRDefault="00000000">
    <w:pPr>
      <w:pStyle w:val="a1"/>
    </w:pPr>
    <w:r>
      <w:pict>
        <v:rect id="_x0000_s1027" style="position:absolute;margin-left:151.05pt;margin-top:121.45pt;width:192.05pt;height:31.25pt;z-index:-7;mso-position-horizontal-relative:page;mso-position-vertical-relative:page" o:allowincell="f" filled="f" stroked="f" strokeweight="0">
          <v:textbox style="mso-next-textbox:#_x0000_s1027"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a1"/>
    </w:pPr>
    <w:r>
      <w:pict>
        <v:rect id="_x0000_s1028" style="position:absolute;margin-left:-12pt;margin-top:235.85pt;width:492.05pt;height:.05pt;z-index:-6;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lang w:val="fr-FR"/>
      </w:rPr>
    </w:pPr>
    <w:r>
      <w:rPr>
        <w:rFonts w:ascii="SimHei" w:eastAsia="SimHei"/>
        <w:noProof/>
        <w:lang w:val="fr-FR"/>
      </w:rPr>
      <w:pict>
        <v:rect id="_x0000_s1049" style="position:absolute;margin-left:669.5pt;margin-top:45.35pt;width:32.6pt;height:415.75pt;z-index:9" o:allowincell="f" filled="f" stroked="f">
          <v:textbox style="layout-flow:vertical-ideographic" inset="1pt,1pt,1pt,1pt">
            <w:txbxContent>
              <w:p w:rsidR="00000000" w:rsidRDefault="00000000">
                <w:pPr>
                  <w:pStyle w:val="1R2"/>
                  <w:rPr>
                    <w:lang w:val="fr-FR"/>
                  </w:rPr>
                </w:pPr>
                <w:r>
                  <w:rPr>
                    <w:lang w:val="fr-FR"/>
                  </w:rPr>
                  <w:t>E/1990/5/Add.46</w:t>
                </w:r>
              </w:p>
              <w:p w:rsidR="00000000" w:rsidRDefault="00000000">
                <w:pPr>
                  <w:pStyle w:val="1R2"/>
                  <w:rPr>
                    <w:lang w:val="fr-FR"/>
                  </w:rPr>
                </w:pPr>
                <w:r>
                  <w:rPr>
                    <w:lang w:val="fr-FR"/>
                  </w:rPr>
                  <w:t xml:space="preserve">Page </w:t>
                </w:r>
                <w:r>
                  <w:rPr>
                    <w:rStyle w:val="PageNumber"/>
                    <w:snapToGrid/>
                  </w:rPr>
                  <w:fldChar w:fldCharType="begin"/>
                </w:r>
                <w:r>
                  <w:rPr>
                    <w:rStyle w:val="PageNumber"/>
                    <w:snapToGrid/>
                    <w:lang w:val="fr-FR"/>
                  </w:rPr>
                  <w:instrText xml:space="preserve"> PAGE </w:instrText>
                </w:r>
                <w:r>
                  <w:rPr>
                    <w:rStyle w:val="PageNumber"/>
                    <w:snapToGrid/>
                  </w:rPr>
                  <w:fldChar w:fldCharType="separate"/>
                </w:r>
                <w:r>
                  <w:rPr>
                    <w:rStyle w:val="PageNumber"/>
                    <w:noProof/>
                    <w:snapToGrid/>
                    <w:lang w:val="fr-FR"/>
                  </w:rPr>
                  <w:t>72</w:t>
                </w:r>
                <w:r>
                  <w:rPr>
                    <w:rStyle w:val="PageNumber"/>
                    <w:snapToGrid/>
                  </w:rPr>
                  <w:fldChar w:fldCharType="end"/>
                </w:r>
              </w:p>
            </w:txbxContent>
          </v:textbox>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lang w:val="fr-FR"/>
      </w:rPr>
    </w:pPr>
    <w:r>
      <w:rPr>
        <w:lang w:val="fr-FR"/>
      </w:rPr>
      <w:t>E/1990/</w:t>
    </w:r>
    <w:r>
      <w:rPr>
        <w:rFonts w:hint="eastAsia"/>
        <w:lang w:val="fr-FR"/>
      </w:rPr>
      <w:t>5/</w:t>
    </w:r>
    <w:r>
      <w:rPr>
        <w:lang w:val="fr-FR"/>
      </w:rPr>
      <w:t xml:space="preserve">Add.46 </w:t>
    </w:r>
  </w:p>
  <w:p w:rsidR="00000000" w:rsidRDefault="00000000">
    <w:pPr>
      <w:pStyle w:val="1R2"/>
      <w:framePr w:w="0" w:hRule="auto" w:hSpace="0" w:wrap="auto" w:vAnchor="margin" w:hAnchor="text" w:xAlign="left" w:yAlign="inline"/>
      <w:rPr>
        <w:rFonts w:hint="eastAsia"/>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102</w:t>
    </w:r>
    <w:r>
      <w:rPr>
        <w:rStyle w:val="PageNumber"/>
      </w:rPr>
      <w:fldChar w:fldCharType="end"/>
    </w:r>
  </w:p>
  <w:p w:rsidR="00000000" w:rsidRDefault="00000000">
    <w:pPr>
      <w:pStyle w:val="Header"/>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rFonts w:hint="eastAsia"/>
        <w:lang w:val="fr-FR"/>
      </w:rPr>
    </w:pPr>
    <w:r>
      <w:rPr>
        <w:lang w:val="fr-FR"/>
      </w:rPr>
      <w:tab/>
    </w:r>
    <w:r>
      <w:rPr>
        <w:lang w:val="fr-FR"/>
      </w:rPr>
      <w:tab/>
    </w:r>
    <w:r>
      <w:rPr>
        <w:lang w:val="fr-FR"/>
      </w:rPr>
      <w:tab/>
    </w:r>
    <w:r>
      <w:rPr>
        <w:lang w:val="fr-FR"/>
      </w:rPr>
      <w:tab/>
      <w:t>E/</w:t>
    </w:r>
    <w:r>
      <w:rPr>
        <w:rFonts w:ascii="SimHei" w:eastAsia="SimHei"/>
        <w:noProof/>
        <w:lang w:val="fr-FR"/>
      </w:rPr>
      <w:pict>
        <v:rect id="_x0000_s1044" style="position:absolute;margin-left:669.5pt;margin-top:45.35pt;width:32.6pt;height:415.75pt;z-index:8;mso-position-horizontal-relative:text;mso-position-vertical-relative:text" o:allowincell="f" filled="f" stroked="f">
          <v:textbox style="layout-flow:vertical-ideographic;mso-next-textbox:#_x0000_s1044" inset="1pt,1pt,1pt,1pt">
            <w:txbxContent>
              <w:p w:rsidR="00000000" w:rsidRDefault="00000000">
                <w:pPr>
                  <w:pStyle w:val="1R2"/>
                  <w:rPr>
                    <w:rFonts w:hint="eastAsia"/>
                    <w:lang w:val="fr-FR"/>
                  </w:rPr>
                </w:pPr>
                <w:r>
                  <w:rPr>
                    <w:lang w:val="fr-FR"/>
                  </w:rPr>
                  <w:t>E/1990/</w:t>
                </w:r>
                <w:r>
                  <w:rPr>
                    <w:rFonts w:hint="eastAsia"/>
                    <w:lang w:val="fr-FR"/>
                  </w:rPr>
                  <w:t>5/</w:t>
                </w:r>
                <w:r>
                  <w:rPr>
                    <w:lang w:val="fr-FR"/>
                  </w:rPr>
                  <w:t>Add.46</w:t>
                </w:r>
              </w:p>
              <w:p w:rsidR="00000000" w:rsidRDefault="00000000">
                <w:pPr>
                  <w:pStyle w:val="1R2"/>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101</w:t>
                </w:r>
                <w:r>
                  <w:rPr>
                    <w:rStyle w:val="PageNumber"/>
                  </w:rPr>
                  <w:fldChar w:fldCharType="end"/>
                </w:r>
              </w:p>
              <w:p w:rsidR="00000000" w:rsidRDefault="00000000">
                <w:pPr>
                  <w:pStyle w:val="1R2"/>
                  <w:rPr>
                    <w:lang w:val="fr-FR"/>
                  </w:rPr>
                </w:pPr>
              </w:p>
            </w:txbxContent>
          </v:textbox>
        </v:rect>
      </w:pict>
    </w:r>
    <w:r>
      <w:rPr>
        <w:lang w:val="fr-FR"/>
      </w:rPr>
      <w:t>1990/</w:t>
    </w:r>
    <w:r>
      <w:rPr>
        <w:rFonts w:hint="eastAsia"/>
        <w:lang w:val="fr-FR"/>
      </w:rPr>
      <w:t>5/</w:t>
    </w:r>
    <w:r>
      <w:rPr>
        <w:lang w:val="fr-FR"/>
      </w:rPr>
      <w:t>Add.46</w:t>
    </w:r>
  </w:p>
  <w:p w:rsidR="00000000" w:rsidRDefault="00000000">
    <w:pPr>
      <w:pStyle w:val="1R2"/>
      <w:framePr w:w="0" w:hRule="auto" w:hSpace="0" w:wrap="auto" w:vAnchor="margin" w:hAnchor="text" w:xAlign="left" w:yAlign="inline"/>
      <w:rPr>
        <w:lang w:val="fr-FR"/>
      </w:rPr>
    </w:pPr>
    <w:r>
      <w:rPr>
        <w:lang w:val="fr-FR"/>
      </w:rPr>
      <w:tab/>
    </w:r>
    <w:r>
      <w:rPr>
        <w:lang w:val="fr-FR"/>
      </w:rPr>
      <w:tab/>
    </w:r>
    <w:r>
      <w:rPr>
        <w:lang w:val="fr-FR"/>
      </w:rPr>
      <w:tab/>
    </w:r>
    <w:r>
      <w:rPr>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101</w:t>
    </w:r>
    <w:r>
      <w:rPr>
        <w:rStyle w:val="PageNumber"/>
      </w:rPr>
      <w:fldChar w:fldCharType="end"/>
    </w:r>
  </w:p>
  <w:p w:rsidR="00000000" w:rsidRDefault="00000000">
    <w:pPr>
      <w:pStyle w:val="1R2"/>
      <w:framePr w:w="0" w:hRule="auto" w:hSpace="0" w:wrap="auto" w:vAnchor="margin" w:hAnchor="text" w:xAlign="left" w:yAlign="inlin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
    <w:nsid w:val="09140562"/>
    <w:multiLevelType w:val="singleLevel"/>
    <w:tmpl w:val="08A4E756"/>
    <w:lvl w:ilvl="0">
      <w:start w:val="1"/>
      <w:numFmt w:val="lowerLetter"/>
      <w:lvlText w:val="(%1)"/>
      <w:lvlJc w:val="left"/>
      <w:pPr>
        <w:tabs>
          <w:tab w:val="num" w:pos="1531"/>
        </w:tabs>
        <w:ind w:left="1531" w:hanging="510"/>
      </w:pPr>
      <w:rPr>
        <w:rFonts w:hint="eastAsia"/>
      </w:rPr>
    </w:lvl>
  </w:abstractNum>
  <w:abstractNum w:abstractNumId="5">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6">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9">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0">
    <w:nsid w:val="0D4F3AEE"/>
    <w:multiLevelType w:val="hybridMultilevel"/>
    <w:tmpl w:val="0B74BA9A"/>
    <w:lvl w:ilvl="0" w:tplc="5FFA69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
    <w:nsid w:val="0DDC6667"/>
    <w:multiLevelType w:val="hybridMultilevel"/>
    <w:tmpl w:val="BAF625DC"/>
    <w:lvl w:ilvl="0" w:tplc="76BC7C78">
      <w:start w:val="1"/>
      <w:numFmt w:val="lowerLetter"/>
      <w:lvlRestart w:val="0"/>
      <w:lvlText w:val="(%1)"/>
      <w:lvlJc w:val="right"/>
      <w:pPr>
        <w:tabs>
          <w:tab w:val="num" w:pos="987"/>
        </w:tabs>
        <w:ind w:left="987" w:hanging="227"/>
      </w:pPr>
      <w:rPr>
        <w:rFonts w:ascii="Times New Roman" w:hAnsi="Times New Roman"/>
        <w:b w:val="0"/>
        <w:i w:val="0"/>
        <w:sz w:val="24"/>
      </w:rPr>
    </w:lvl>
    <w:lvl w:ilvl="1" w:tplc="04090019" w:tentative="1">
      <w:start w:val="1"/>
      <w:numFmt w:val="lowerLetter"/>
      <w:lvlText w:val="%2."/>
      <w:lvlJc w:val="left"/>
      <w:pPr>
        <w:tabs>
          <w:tab w:val="num" w:pos="896"/>
        </w:tabs>
        <w:ind w:left="896" w:hanging="360"/>
      </w:pPr>
    </w:lvl>
    <w:lvl w:ilvl="2" w:tplc="0409001B" w:tentative="1">
      <w:start w:val="1"/>
      <w:numFmt w:val="lowerRoman"/>
      <w:lvlText w:val="%3."/>
      <w:lvlJc w:val="right"/>
      <w:pPr>
        <w:tabs>
          <w:tab w:val="num" w:pos="1616"/>
        </w:tabs>
        <w:ind w:left="1616" w:hanging="180"/>
      </w:pPr>
    </w:lvl>
    <w:lvl w:ilvl="3" w:tplc="0409000F" w:tentative="1">
      <w:start w:val="1"/>
      <w:numFmt w:val="decimal"/>
      <w:lvlText w:val="%4."/>
      <w:lvlJc w:val="left"/>
      <w:pPr>
        <w:tabs>
          <w:tab w:val="num" w:pos="2336"/>
        </w:tabs>
        <w:ind w:left="2336" w:hanging="360"/>
      </w:pPr>
    </w:lvl>
    <w:lvl w:ilvl="4" w:tplc="04090019" w:tentative="1">
      <w:start w:val="1"/>
      <w:numFmt w:val="lowerLetter"/>
      <w:lvlText w:val="%5."/>
      <w:lvlJc w:val="left"/>
      <w:pPr>
        <w:tabs>
          <w:tab w:val="num" w:pos="3056"/>
        </w:tabs>
        <w:ind w:left="3056" w:hanging="360"/>
      </w:pPr>
    </w:lvl>
    <w:lvl w:ilvl="5" w:tplc="0409001B" w:tentative="1">
      <w:start w:val="1"/>
      <w:numFmt w:val="lowerRoman"/>
      <w:lvlText w:val="%6."/>
      <w:lvlJc w:val="right"/>
      <w:pPr>
        <w:tabs>
          <w:tab w:val="num" w:pos="3776"/>
        </w:tabs>
        <w:ind w:left="3776" w:hanging="180"/>
      </w:pPr>
    </w:lvl>
    <w:lvl w:ilvl="6" w:tplc="0409000F" w:tentative="1">
      <w:start w:val="1"/>
      <w:numFmt w:val="decimal"/>
      <w:lvlText w:val="%7."/>
      <w:lvlJc w:val="left"/>
      <w:pPr>
        <w:tabs>
          <w:tab w:val="num" w:pos="4496"/>
        </w:tabs>
        <w:ind w:left="4496" w:hanging="360"/>
      </w:pPr>
    </w:lvl>
    <w:lvl w:ilvl="7" w:tplc="04090019" w:tentative="1">
      <w:start w:val="1"/>
      <w:numFmt w:val="lowerLetter"/>
      <w:lvlText w:val="%8."/>
      <w:lvlJc w:val="left"/>
      <w:pPr>
        <w:tabs>
          <w:tab w:val="num" w:pos="5216"/>
        </w:tabs>
        <w:ind w:left="5216" w:hanging="360"/>
      </w:pPr>
    </w:lvl>
    <w:lvl w:ilvl="8" w:tplc="0409001B" w:tentative="1">
      <w:start w:val="1"/>
      <w:numFmt w:val="lowerRoman"/>
      <w:lvlText w:val="%9."/>
      <w:lvlJc w:val="right"/>
      <w:pPr>
        <w:tabs>
          <w:tab w:val="num" w:pos="5936"/>
        </w:tabs>
        <w:ind w:left="5936" w:hanging="180"/>
      </w:pPr>
    </w:lvl>
  </w:abstractNum>
  <w:abstractNum w:abstractNumId="13">
    <w:nsid w:val="0EBB5B31"/>
    <w:multiLevelType w:val="hybridMultilevel"/>
    <w:tmpl w:val="617A085A"/>
    <w:lvl w:ilvl="0" w:tplc="0D888F90">
      <w:start w:val="1"/>
      <w:numFmt w:val="lowerLetter"/>
      <w:lvlRestart w:val="0"/>
      <w:lvlText w:val="(%1)"/>
      <w:lvlJc w:val="right"/>
      <w:pPr>
        <w:tabs>
          <w:tab w:val="num" w:pos="1497"/>
        </w:tabs>
        <w:ind w:left="1497" w:hanging="227"/>
      </w:pPr>
      <w:rPr>
        <w:rFonts w:ascii="Times New Roman" w:hAnsi="Times New Roman" w:hint="eastAsia"/>
        <w:b w:val="0"/>
        <w:i w:val="0"/>
        <w:sz w:val="24"/>
      </w:rPr>
    </w:lvl>
    <w:lvl w:ilvl="1" w:tplc="04090019" w:tentative="1">
      <w:start w:val="1"/>
      <w:numFmt w:val="lowerLetter"/>
      <w:lvlText w:val="%2."/>
      <w:lvlJc w:val="left"/>
      <w:pPr>
        <w:tabs>
          <w:tab w:val="num" w:pos="1406"/>
        </w:tabs>
        <w:ind w:left="1406" w:hanging="360"/>
      </w:pPr>
    </w:lvl>
    <w:lvl w:ilvl="2" w:tplc="0409001B" w:tentative="1">
      <w:start w:val="1"/>
      <w:numFmt w:val="lowerRoman"/>
      <w:lvlText w:val="%3."/>
      <w:lvlJc w:val="right"/>
      <w:pPr>
        <w:tabs>
          <w:tab w:val="num" w:pos="2126"/>
        </w:tabs>
        <w:ind w:left="2126" w:hanging="180"/>
      </w:pPr>
    </w:lvl>
    <w:lvl w:ilvl="3" w:tplc="0409000F" w:tentative="1">
      <w:start w:val="1"/>
      <w:numFmt w:val="decimal"/>
      <w:lvlText w:val="%4."/>
      <w:lvlJc w:val="left"/>
      <w:pPr>
        <w:tabs>
          <w:tab w:val="num" w:pos="2846"/>
        </w:tabs>
        <w:ind w:left="2846" w:hanging="360"/>
      </w:pPr>
    </w:lvl>
    <w:lvl w:ilvl="4" w:tplc="04090019" w:tentative="1">
      <w:start w:val="1"/>
      <w:numFmt w:val="lowerLetter"/>
      <w:lvlText w:val="%5."/>
      <w:lvlJc w:val="left"/>
      <w:pPr>
        <w:tabs>
          <w:tab w:val="num" w:pos="3566"/>
        </w:tabs>
        <w:ind w:left="3566" w:hanging="360"/>
      </w:pPr>
    </w:lvl>
    <w:lvl w:ilvl="5" w:tplc="0409001B" w:tentative="1">
      <w:start w:val="1"/>
      <w:numFmt w:val="lowerRoman"/>
      <w:lvlText w:val="%6."/>
      <w:lvlJc w:val="right"/>
      <w:pPr>
        <w:tabs>
          <w:tab w:val="num" w:pos="4286"/>
        </w:tabs>
        <w:ind w:left="4286" w:hanging="180"/>
      </w:pPr>
    </w:lvl>
    <w:lvl w:ilvl="6" w:tplc="0409000F" w:tentative="1">
      <w:start w:val="1"/>
      <w:numFmt w:val="decimal"/>
      <w:lvlText w:val="%7."/>
      <w:lvlJc w:val="left"/>
      <w:pPr>
        <w:tabs>
          <w:tab w:val="num" w:pos="5006"/>
        </w:tabs>
        <w:ind w:left="5006" w:hanging="360"/>
      </w:pPr>
    </w:lvl>
    <w:lvl w:ilvl="7" w:tplc="04090019" w:tentative="1">
      <w:start w:val="1"/>
      <w:numFmt w:val="lowerLetter"/>
      <w:lvlText w:val="%8."/>
      <w:lvlJc w:val="left"/>
      <w:pPr>
        <w:tabs>
          <w:tab w:val="num" w:pos="5726"/>
        </w:tabs>
        <w:ind w:left="5726" w:hanging="360"/>
      </w:pPr>
    </w:lvl>
    <w:lvl w:ilvl="8" w:tplc="0409001B" w:tentative="1">
      <w:start w:val="1"/>
      <w:numFmt w:val="lowerRoman"/>
      <w:lvlText w:val="%9."/>
      <w:lvlJc w:val="right"/>
      <w:pPr>
        <w:tabs>
          <w:tab w:val="num" w:pos="6446"/>
        </w:tabs>
        <w:ind w:left="6446" w:hanging="180"/>
      </w:pPr>
    </w:lvl>
  </w:abstractNum>
  <w:abstractNum w:abstractNumId="14">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7">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8">
    <w:nsid w:val="130E4648"/>
    <w:multiLevelType w:val="hybridMultilevel"/>
    <w:tmpl w:val="13A8901A"/>
    <w:lvl w:ilvl="0" w:tplc="2ED8720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20">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2">
    <w:nsid w:val="17263ECE"/>
    <w:multiLevelType w:val="hybridMultilevel"/>
    <w:tmpl w:val="4BDEE436"/>
    <w:lvl w:ilvl="0" w:tplc="5EAA3A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25">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26">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28">
    <w:nsid w:val="1BBD4E05"/>
    <w:multiLevelType w:val="hybridMultilevel"/>
    <w:tmpl w:val="A5B20960"/>
    <w:lvl w:ilvl="0" w:tplc="5FFA69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30">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32">
    <w:nsid w:val="214E57AC"/>
    <w:multiLevelType w:val="hybridMultilevel"/>
    <w:tmpl w:val="75F6B992"/>
    <w:lvl w:ilvl="0" w:tplc="89249D3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34">
    <w:nsid w:val="22E1569A"/>
    <w:multiLevelType w:val="hybridMultilevel"/>
    <w:tmpl w:val="343C2D4C"/>
    <w:lvl w:ilvl="0" w:tplc="0D888F90">
      <w:start w:val="1"/>
      <w:numFmt w:val="lowerLetter"/>
      <w:lvlRestart w:val="0"/>
      <w:lvlText w:val="(%1)"/>
      <w:lvlJc w:val="right"/>
      <w:pPr>
        <w:tabs>
          <w:tab w:val="num" w:pos="987"/>
        </w:tabs>
        <w:ind w:left="987" w:hanging="227"/>
      </w:pPr>
      <w:rPr>
        <w:rFonts w:ascii="Times New Roman" w:hAnsi="Times New Roman" w:hint="eastAsia"/>
        <w:b w:val="0"/>
        <w:i w:val="0"/>
        <w:sz w:val="24"/>
      </w:rPr>
    </w:lvl>
    <w:lvl w:ilvl="1" w:tplc="04090019" w:tentative="1">
      <w:start w:val="1"/>
      <w:numFmt w:val="lowerLetter"/>
      <w:lvlText w:val="%2."/>
      <w:lvlJc w:val="left"/>
      <w:pPr>
        <w:tabs>
          <w:tab w:val="num" w:pos="896"/>
        </w:tabs>
        <w:ind w:left="896" w:hanging="360"/>
      </w:pPr>
    </w:lvl>
    <w:lvl w:ilvl="2" w:tplc="0409001B" w:tentative="1">
      <w:start w:val="1"/>
      <w:numFmt w:val="lowerRoman"/>
      <w:lvlText w:val="%3."/>
      <w:lvlJc w:val="right"/>
      <w:pPr>
        <w:tabs>
          <w:tab w:val="num" w:pos="1616"/>
        </w:tabs>
        <w:ind w:left="1616" w:hanging="180"/>
      </w:pPr>
    </w:lvl>
    <w:lvl w:ilvl="3" w:tplc="0409000F" w:tentative="1">
      <w:start w:val="1"/>
      <w:numFmt w:val="decimal"/>
      <w:lvlText w:val="%4."/>
      <w:lvlJc w:val="left"/>
      <w:pPr>
        <w:tabs>
          <w:tab w:val="num" w:pos="2336"/>
        </w:tabs>
        <w:ind w:left="2336" w:hanging="360"/>
      </w:pPr>
    </w:lvl>
    <w:lvl w:ilvl="4" w:tplc="04090019" w:tentative="1">
      <w:start w:val="1"/>
      <w:numFmt w:val="lowerLetter"/>
      <w:lvlText w:val="%5."/>
      <w:lvlJc w:val="left"/>
      <w:pPr>
        <w:tabs>
          <w:tab w:val="num" w:pos="3056"/>
        </w:tabs>
        <w:ind w:left="3056" w:hanging="360"/>
      </w:pPr>
    </w:lvl>
    <w:lvl w:ilvl="5" w:tplc="0409001B" w:tentative="1">
      <w:start w:val="1"/>
      <w:numFmt w:val="lowerRoman"/>
      <w:lvlText w:val="%6."/>
      <w:lvlJc w:val="right"/>
      <w:pPr>
        <w:tabs>
          <w:tab w:val="num" w:pos="3776"/>
        </w:tabs>
        <w:ind w:left="3776" w:hanging="180"/>
      </w:pPr>
    </w:lvl>
    <w:lvl w:ilvl="6" w:tplc="0409000F" w:tentative="1">
      <w:start w:val="1"/>
      <w:numFmt w:val="decimal"/>
      <w:lvlText w:val="%7."/>
      <w:lvlJc w:val="left"/>
      <w:pPr>
        <w:tabs>
          <w:tab w:val="num" w:pos="4496"/>
        </w:tabs>
        <w:ind w:left="4496" w:hanging="360"/>
      </w:pPr>
    </w:lvl>
    <w:lvl w:ilvl="7" w:tplc="04090019" w:tentative="1">
      <w:start w:val="1"/>
      <w:numFmt w:val="lowerLetter"/>
      <w:lvlText w:val="%8."/>
      <w:lvlJc w:val="left"/>
      <w:pPr>
        <w:tabs>
          <w:tab w:val="num" w:pos="5216"/>
        </w:tabs>
        <w:ind w:left="5216" w:hanging="360"/>
      </w:pPr>
    </w:lvl>
    <w:lvl w:ilvl="8" w:tplc="0409001B" w:tentative="1">
      <w:start w:val="1"/>
      <w:numFmt w:val="lowerRoman"/>
      <w:lvlText w:val="%9."/>
      <w:lvlJc w:val="right"/>
      <w:pPr>
        <w:tabs>
          <w:tab w:val="num" w:pos="5936"/>
        </w:tabs>
        <w:ind w:left="5936" w:hanging="180"/>
      </w:pPr>
    </w:lvl>
  </w:abstractNum>
  <w:abstractNum w:abstractNumId="35">
    <w:nsid w:val="22E44274"/>
    <w:multiLevelType w:val="hybridMultilevel"/>
    <w:tmpl w:val="684A63C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37">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26A66206"/>
    <w:multiLevelType w:val="hybridMultilevel"/>
    <w:tmpl w:val="84DC7D38"/>
    <w:lvl w:ilvl="0" w:tplc="89249D3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943268B"/>
    <w:multiLevelType w:val="hybridMultilevel"/>
    <w:tmpl w:val="9BE04696"/>
    <w:lvl w:ilvl="0" w:tplc="B69E4ABC">
      <w:start w:val="1"/>
      <w:numFmt w:val="chineseCountingThousand"/>
      <w:lvlRestart w:val="0"/>
      <w:lvlText w:val="(%1)"/>
      <w:lvlJc w:val="right"/>
      <w:pPr>
        <w:tabs>
          <w:tab w:val="num" w:pos="1474"/>
        </w:tabs>
        <w:ind w:left="1474" w:hanging="170"/>
      </w:pPr>
      <w:rPr>
        <w:rFonts w:ascii="Times New Roman" w:hAnsi="Times New Roman" w:hint="eastAsia"/>
        <w:sz w:val="20"/>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40">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42">
    <w:nsid w:val="3105549B"/>
    <w:multiLevelType w:val="hybridMultilevel"/>
    <w:tmpl w:val="2286E01A"/>
    <w:lvl w:ilvl="0" w:tplc="B69E4ABC">
      <w:start w:val="1"/>
      <w:numFmt w:val="chineseCountingThousand"/>
      <w:lvlRestart w:val="0"/>
      <w:lvlText w:val="(%1)"/>
      <w:lvlJc w:val="right"/>
      <w:pPr>
        <w:tabs>
          <w:tab w:val="num" w:pos="1531"/>
        </w:tabs>
        <w:ind w:left="1531" w:hanging="170"/>
      </w:pPr>
      <w:rPr>
        <w:rFonts w:ascii="Times New Roman" w:hAnsi="Times New Roman" w:hint="eastAsi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
    <w:nsid w:val="32D95CC5"/>
    <w:multiLevelType w:val="singleLevel"/>
    <w:tmpl w:val="C92E6F64"/>
    <w:lvl w:ilvl="0">
      <w:start w:val="1"/>
      <w:numFmt w:val="lowerLetter"/>
      <w:lvlText w:val="(%1)"/>
      <w:legacy w:legacy="1" w:legacySpace="0" w:legacyIndent="425"/>
      <w:lvlJc w:val="left"/>
      <w:pPr>
        <w:ind w:left="1446" w:hanging="425"/>
      </w:pPr>
    </w:lvl>
  </w:abstractNum>
  <w:abstractNum w:abstractNumId="45">
    <w:nsid w:val="330161C4"/>
    <w:multiLevelType w:val="hybridMultilevel"/>
    <w:tmpl w:val="D44E496E"/>
    <w:lvl w:ilvl="0" w:tplc="B96866B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7A807EE">
      <w:start w:val="1"/>
      <w:numFmt w:val="lowerLetter"/>
      <w:lvlRestart w:val="0"/>
      <w:lvlText w:val="(%2)"/>
      <w:lvlJc w:val="right"/>
      <w:pPr>
        <w:tabs>
          <w:tab w:val="num" w:pos="1307"/>
        </w:tabs>
        <w:ind w:left="1307" w:hanging="227"/>
      </w:pPr>
      <w:rPr>
        <w:rFonts w:ascii="Times New Roman" w:hAnsi="Times New Roman" w:hint="eastAsia"/>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3BF5892"/>
    <w:multiLevelType w:val="singleLevel"/>
    <w:tmpl w:val="B2E22F84"/>
    <w:lvl w:ilvl="0">
      <w:start w:val="1"/>
      <w:numFmt w:val="chineseCountingThousand"/>
      <w:lvlText w:val="(%1)"/>
      <w:lvlJc w:val="left"/>
      <w:pPr>
        <w:tabs>
          <w:tab w:val="num" w:pos="1021"/>
        </w:tabs>
        <w:ind w:left="1021" w:hanging="511"/>
      </w:pPr>
      <w:rPr>
        <w:rFonts w:hint="eastAsia"/>
        <w:sz w:val="21"/>
      </w:rPr>
    </w:lvl>
  </w:abstractNum>
  <w:abstractNum w:abstractNumId="47">
    <w:nsid w:val="33D94201"/>
    <w:multiLevelType w:val="hybridMultilevel"/>
    <w:tmpl w:val="CBDAF5CE"/>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0">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1">
    <w:nsid w:val="38596A20"/>
    <w:multiLevelType w:val="hybridMultilevel"/>
    <w:tmpl w:val="1DD4955A"/>
    <w:lvl w:ilvl="0" w:tplc="D1321EF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8FB2D27"/>
    <w:multiLevelType w:val="hybridMultilevel"/>
    <w:tmpl w:val="B64E494C"/>
    <w:lvl w:ilvl="0" w:tplc="14C8B3EC">
      <w:start w:val="1"/>
      <w:numFmt w:val="lowerLetter"/>
      <w:lvlRestart w:val="0"/>
      <w:lvlText w:val="(%1)"/>
      <w:lvlJc w:val="right"/>
      <w:pPr>
        <w:tabs>
          <w:tab w:val="num" w:pos="1351"/>
        </w:tabs>
        <w:ind w:left="1351" w:hanging="227"/>
      </w:pPr>
      <w:rPr>
        <w:rFonts w:ascii="Times New Roman" w:hAnsi="Times New Roman" w:hint="eastAsia"/>
        <w:b w:val="0"/>
        <w:i w:val="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3">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54">
    <w:nsid w:val="39D90235"/>
    <w:multiLevelType w:val="singleLevel"/>
    <w:tmpl w:val="5366C8E2"/>
    <w:lvl w:ilvl="0">
      <w:start w:val="1"/>
      <w:numFmt w:val="bullet"/>
      <w:pStyle w:val="a"/>
      <w:lvlText w:val=""/>
      <w:lvlJc w:val="left"/>
      <w:pPr>
        <w:tabs>
          <w:tab w:val="num" w:pos="510"/>
        </w:tabs>
        <w:ind w:left="510" w:hanging="510"/>
      </w:pPr>
      <w:rPr>
        <w:rFonts w:ascii="Symbol" w:hAnsi="Symbol" w:hint="default"/>
      </w:rPr>
    </w:lvl>
  </w:abstractNum>
  <w:abstractNum w:abstractNumId="55">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56">
    <w:nsid w:val="3BD47B2E"/>
    <w:multiLevelType w:val="hybridMultilevel"/>
    <w:tmpl w:val="C1CE96F4"/>
    <w:lvl w:ilvl="0" w:tplc="89249D3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8">
    <w:nsid w:val="3CC511C9"/>
    <w:multiLevelType w:val="hybridMultilevel"/>
    <w:tmpl w:val="D9D0BD48"/>
    <w:lvl w:ilvl="0" w:tplc="7102EBC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D1C1FF6"/>
    <w:multiLevelType w:val="hybridMultilevel"/>
    <w:tmpl w:val="D58049CE"/>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61">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2">
    <w:nsid w:val="3DB57D39"/>
    <w:multiLevelType w:val="hybridMultilevel"/>
    <w:tmpl w:val="A476D6FC"/>
    <w:lvl w:ilvl="0" w:tplc="14C8B3EC">
      <w:start w:val="1"/>
      <w:numFmt w:val="lowerLetter"/>
      <w:lvlRestart w:val="0"/>
      <w:lvlText w:val="(%1)"/>
      <w:lvlJc w:val="right"/>
      <w:pPr>
        <w:tabs>
          <w:tab w:val="num" w:pos="1247"/>
        </w:tabs>
        <w:ind w:left="1247" w:hanging="227"/>
      </w:pPr>
      <w:rPr>
        <w:rFonts w:ascii="Times New Roman" w:hAnsi="Times New Roman" w:hint="eastAsia"/>
        <w:b w:val="0"/>
        <w:i w:val="0"/>
        <w:sz w:val="24"/>
      </w:rPr>
    </w:lvl>
    <w:lvl w:ilvl="1" w:tplc="0212BA80">
      <w:start w:val="226"/>
      <w:numFmt w:val="decimal"/>
      <w:lvlText w:val="%2．"/>
      <w:lvlJc w:val="left"/>
      <w:pPr>
        <w:tabs>
          <w:tab w:val="num" w:pos="1756"/>
        </w:tabs>
        <w:ind w:left="1756" w:hanging="960"/>
      </w:pPr>
      <w:rPr>
        <w:rFonts w:hint="eastAsia"/>
      </w:r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63">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64">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65">
    <w:nsid w:val="41A10F64"/>
    <w:multiLevelType w:val="hybridMultilevel"/>
    <w:tmpl w:val="63623FE2"/>
    <w:lvl w:ilvl="0" w:tplc="A74E02D4">
      <w:start w:val="1"/>
      <w:numFmt w:val="lowerLetter"/>
      <w:lvlRestart w:val="0"/>
      <w:lvlText w:val="(%1)"/>
      <w:lvlJc w:val="right"/>
      <w:pPr>
        <w:tabs>
          <w:tab w:val="num" w:pos="2041"/>
        </w:tabs>
        <w:ind w:left="2041" w:hanging="227"/>
      </w:pPr>
      <w:rPr>
        <w:rFonts w:ascii="Times New Roman" w:hAnsi="Times New Roman"/>
        <w:b w:val="0"/>
        <w:i w:val="0"/>
        <w:sz w:val="24"/>
      </w:rPr>
    </w:lvl>
    <w:lvl w:ilvl="1" w:tplc="A74E02D4">
      <w:start w:val="1"/>
      <w:numFmt w:val="lowerLetter"/>
      <w:lvlRestart w:val="0"/>
      <w:lvlText w:val="(%2)"/>
      <w:lvlJc w:val="right"/>
      <w:pPr>
        <w:tabs>
          <w:tab w:val="num" w:pos="1817"/>
        </w:tabs>
        <w:ind w:left="1817" w:hanging="227"/>
      </w:pPr>
      <w:rPr>
        <w:rFonts w:ascii="Times New Roman" w:hAnsi="Times New Roman"/>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66">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67">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69">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2">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
    <w:nsid w:val="4AF72CCB"/>
    <w:multiLevelType w:val="hybridMultilevel"/>
    <w:tmpl w:val="6100ADF8"/>
    <w:lvl w:ilvl="0" w:tplc="8F866A0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C3B4053"/>
    <w:multiLevelType w:val="hybridMultilevel"/>
    <w:tmpl w:val="C7546740"/>
    <w:lvl w:ilvl="0" w:tplc="8F866A06">
      <w:start w:val="1"/>
      <w:numFmt w:val="lowerLetter"/>
      <w:lvlRestart w:val="0"/>
      <w:lvlText w:val="(%1)"/>
      <w:lvlJc w:val="right"/>
      <w:pPr>
        <w:tabs>
          <w:tab w:val="num" w:pos="2131"/>
        </w:tabs>
        <w:ind w:left="2131" w:hanging="227"/>
      </w:pPr>
      <w:rPr>
        <w:rFonts w:ascii="Times New Roman" w:hAnsi="Times New Roman" w:hint="eastAsia"/>
        <w:b w:val="0"/>
        <w:i w:val="0"/>
        <w:sz w:val="24"/>
      </w:rPr>
    </w:lvl>
    <w:lvl w:ilvl="1" w:tplc="8F866A06">
      <w:start w:val="1"/>
      <w:numFmt w:val="lowerLetter"/>
      <w:lvlRestart w:val="0"/>
      <w:lvlText w:val="(%2)"/>
      <w:lvlJc w:val="right"/>
      <w:pPr>
        <w:tabs>
          <w:tab w:val="num" w:pos="1907"/>
        </w:tabs>
        <w:ind w:left="1907" w:hanging="227"/>
      </w:pPr>
      <w:rPr>
        <w:rFonts w:ascii="Times New Roman" w:hAnsi="Times New Roman" w:hint="eastAsia"/>
        <w:b w:val="0"/>
        <w:i w:val="0"/>
        <w:sz w:val="24"/>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5">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76">
    <w:nsid w:val="4D2A7752"/>
    <w:multiLevelType w:val="hybridMultilevel"/>
    <w:tmpl w:val="8AFA235E"/>
    <w:lvl w:ilvl="0" w:tplc="A74E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78">
    <w:nsid w:val="4E332F55"/>
    <w:multiLevelType w:val="hybridMultilevel"/>
    <w:tmpl w:val="F996BAF4"/>
    <w:lvl w:ilvl="0" w:tplc="3FB2E9AE">
      <w:start w:val="1"/>
      <w:numFmt w:val="chineseCountingThousand"/>
      <w:lvlRestart w:val="0"/>
      <w:lvlText w:val="(%1)"/>
      <w:lvlJc w:val="right"/>
      <w:pPr>
        <w:tabs>
          <w:tab w:val="num" w:pos="-379"/>
        </w:tabs>
        <w:ind w:left="-379" w:hanging="170"/>
      </w:pPr>
      <w:rPr>
        <w:rFonts w:ascii="Times New Roman" w:hAnsi="Times New Roman"/>
        <w:sz w:val="20"/>
      </w:rPr>
    </w:lvl>
    <w:lvl w:ilvl="1" w:tplc="04090019" w:tentative="1">
      <w:start w:val="1"/>
      <w:numFmt w:val="lowerLetter"/>
      <w:lvlText w:val="%2."/>
      <w:lvlJc w:val="left"/>
      <w:pPr>
        <w:tabs>
          <w:tab w:val="num" w:pos="-470"/>
        </w:tabs>
        <w:ind w:left="-470" w:hanging="360"/>
      </w:pPr>
    </w:lvl>
    <w:lvl w:ilvl="2" w:tplc="0409001B" w:tentative="1">
      <w:start w:val="1"/>
      <w:numFmt w:val="lowerRoman"/>
      <w:lvlText w:val="%3."/>
      <w:lvlJc w:val="right"/>
      <w:pPr>
        <w:tabs>
          <w:tab w:val="num" w:pos="250"/>
        </w:tabs>
        <w:ind w:left="250" w:hanging="180"/>
      </w:pPr>
    </w:lvl>
    <w:lvl w:ilvl="3" w:tplc="0409000F" w:tentative="1">
      <w:start w:val="1"/>
      <w:numFmt w:val="decimal"/>
      <w:lvlText w:val="%4."/>
      <w:lvlJc w:val="left"/>
      <w:pPr>
        <w:tabs>
          <w:tab w:val="num" w:pos="970"/>
        </w:tabs>
        <w:ind w:left="970" w:hanging="360"/>
      </w:pPr>
    </w:lvl>
    <w:lvl w:ilvl="4" w:tplc="04090019" w:tentative="1">
      <w:start w:val="1"/>
      <w:numFmt w:val="lowerLetter"/>
      <w:lvlText w:val="%5."/>
      <w:lvlJc w:val="left"/>
      <w:pPr>
        <w:tabs>
          <w:tab w:val="num" w:pos="1690"/>
        </w:tabs>
        <w:ind w:left="1690" w:hanging="360"/>
      </w:pPr>
    </w:lvl>
    <w:lvl w:ilvl="5" w:tplc="0409001B" w:tentative="1">
      <w:start w:val="1"/>
      <w:numFmt w:val="lowerRoman"/>
      <w:lvlText w:val="%6."/>
      <w:lvlJc w:val="right"/>
      <w:pPr>
        <w:tabs>
          <w:tab w:val="num" w:pos="2410"/>
        </w:tabs>
        <w:ind w:left="2410" w:hanging="180"/>
      </w:pPr>
    </w:lvl>
    <w:lvl w:ilvl="6" w:tplc="0409000F" w:tentative="1">
      <w:start w:val="1"/>
      <w:numFmt w:val="decimal"/>
      <w:lvlText w:val="%7."/>
      <w:lvlJc w:val="left"/>
      <w:pPr>
        <w:tabs>
          <w:tab w:val="num" w:pos="3130"/>
        </w:tabs>
        <w:ind w:left="3130" w:hanging="360"/>
      </w:pPr>
    </w:lvl>
    <w:lvl w:ilvl="7" w:tplc="04090019" w:tentative="1">
      <w:start w:val="1"/>
      <w:numFmt w:val="lowerLetter"/>
      <w:lvlText w:val="%8."/>
      <w:lvlJc w:val="left"/>
      <w:pPr>
        <w:tabs>
          <w:tab w:val="num" w:pos="3850"/>
        </w:tabs>
        <w:ind w:left="3850" w:hanging="360"/>
      </w:pPr>
    </w:lvl>
    <w:lvl w:ilvl="8" w:tplc="0409001B" w:tentative="1">
      <w:start w:val="1"/>
      <w:numFmt w:val="lowerRoman"/>
      <w:lvlText w:val="%9."/>
      <w:lvlJc w:val="right"/>
      <w:pPr>
        <w:tabs>
          <w:tab w:val="num" w:pos="4570"/>
        </w:tabs>
        <w:ind w:left="4570" w:hanging="180"/>
      </w:pPr>
    </w:lvl>
  </w:abstractNum>
  <w:abstractNum w:abstractNumId="79">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80">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1">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82">
    <w:nsid w:val="507317FD"/>
    <w:multiLevelType w:val="singleLevel"/>
    <w:tmpl w:val="4DFAD5FA"/>
    <w:lvl w:ilvl="0">
      <w:start w:val="1"/>
      <w:numFmt w:val="bullet"/>
      <w:pStyle w:val="a0"/>
      <w:lvlText w:val=""/>
      <w:lvlJc w:val="left"/>
      <w:pPr>
        <w:tabs>
          <w:tab w:val="num" w:pos="510"/>
        </w:tabs>
        <w:ind w:left="510" w:hanging="510"/>
      </w:pPr>
      <w:rPr>
        <w:rFonts w:ascii="Symbol" w:hAnsi="Symbol" w:hint="default"/>
        <w:sz w:val="16"/>
      </w:rPr>
    </w:lvl>
  </w:abstractNum>
  <w:abstractNum w:abstractNumId="83">
    <w:nsid w:val="50F86DF5"/>
    <w:multiLevelType w:val="hybridMultilevel"/>
    <w:tmpl w:val="20C8EE44"/>
    <w:lvl w:ilvl="0" w:tplc="89249D3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85">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86">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7">
    <w:nsid w:val="529852BF"/>
    <w:multiLevelType w:val="hybridMultilevel"/>
    <w:tmpl w:val="76CC0CB8"/>
    <w:lvl w:ilvl="0" w:tplc="0D888F90">
      <w:start w:val="1"/>
      <w:numFmt w:val="lowerLetter"/>
      <w:lvlRestart w:val="0"/>
      <w:lvlText w:val="(%1)"/>
      <w:lvlJc w:val="right"/>
      <w:pPr>
        <w:tabs>
          <w:tab w:val="num" w:pos="987"/>
        </w:tabs>
        <w:ind w:left="987" w:hanging="227"/>
      </w:pPr>
      <w:rPr>
        <w:rFonts w:ascii="Times New Roman" w:hAnsi="Times New Roman" w:hint="eastAsia"/>
        <w:b w:val="0"/>
        <w:i w:val="0"/>
        <w:sz w:val="24"/>
      </w:rPr>
    </w:lvl>
    <w:lvl w:ilvl="1" w:tplc="04090019" w:tentative="1">
      <w:start w:val="1"/>
      <w:numFmt w:val="lowerLetter"/>
      <w:lvlText w:val="%2."/>
      <w:lvlJc w:val="left"/>
      <w:pPr>
        <w:tabs>
          <w:tab w:val="num" w:pos="896"/>
        </w:tabs>
        <w:ind w:left="896" w:hanging="360"/>
      </w:pPr>
    </w:lvl>
    <w:lvl w:ilvl="2" w:tplc="0409001B" w:tentative="1">
      <w:start w:val="1"/>
      <w:numFmt w:val="lowerRoman"/>
      <w:lvlText w:val="%3."/>
      <w:lvlJc w:val="right"/>
      <w:pPr>
        <w:tabs>
          <w:tab w:val="num" w:pos="1616"/>
        </w:tabs>
        <w:ind w:left="1616" w:hanging="180"/>
      </w:pPr>
    </w:lvl>
    <w:lvl w:ilvl="3" w:tplc="0409000F" w:tentative="1">
      <w:start w:val="1"/>
      <w:numFmt w:val="decimal"/>
      <w:lvlText w:val="%4."/>
      <w:lvlJc w:val="left"/>
      <w:pPr>
        <w:tabs>
          <w:tab w:val="num" w:pos="2336"/>
        </w:tabs>
        <w:ind w:left="2336" w:hanging="360"/>
      </w:pPr>
    </w:lvl>
    <w:lvl w:ilvl="4" w:tplc="04090019" w:tentative="1">
      <w:start w:val="1"/>
      <w:numFmt w:val="lowerLetter"/>
      <w:lvlText w:val="%5."/>
      <w:lvlJc w:val="left"/>
      <w:pPr>
        <w:tabs>
          <w:tab w:val="num" w:pos="3056"/>
        </w:tabs>
        <w:ind w:left="3056" w:hanging="360"/>
      </w:pPr>
    </w:lvl>
    <w:lvl w:ilvl="5" w:tplc="0409001B" w:tentative="1">
      <w:start w:val="1"/>
      <w:numFmt w:val="lowerRoman"/>
      <w:lvlText w:val="%6."/>
      <w:lvlJc w:val="right"/>
      <w:pPr>
        <w:tabs>
          <w:tab w:val="num" w:pos="3776"/>
        </w:tabs>
        <w:ind w:left="3776" w:hanging="180"/>
      </w:pPr>
    </w:lvl>
    <w:lvl w:ilvl="6" w:tplc="0409000F" w:tentative="1">
      <w:start w:val="1"/>
      <w:numFmt w:val="decimal"/>
      <w:lvlText w:val="%7."/>
      <w:lvlJc w:val="left"/>
      <w:pPr>
        <w:tabs>
          <w:tab w:val="num" w:pos="4496"/>
        </w:tabs>
        <w:ind w:left="4496" w:hanging="360"/>
      </w:pPr>
    </w:lvl>
    <w:lvl w:ilvl="7" w:tplc="04090019" w:tentative="1">
      <w:start w:val="1"/>
      <w:numFmt w:val="lowerLetter"/>
      <w:lvlText w:val="%8."/>
      <w:lvlJc w:val="left"/>
      <w:pPr>
        <w:tabs>
          <w:tab w:val="num" w:pos="5216"/>
        </w:tabs>
        <w:ind w:left="5216" w:hanging="360"/>
      </w:pPr>
    </w:lvl>
    <w:lvl w:ilvl="8" w:tplc="0409001B" w:tentative="1">
      <w:start w:val="1"/>
      <w:numFmt w:val="lowerRoman"/>
      <w:lvlText w:val="%9."/>
      <w:lvlJc w:val="right"/>
      <w:pPr>
        <w:tabs>
          <w:tab w:val="num" w:pos="5936"/>
        </w:tabs>
        <w:ind w:left="5936" w:hanging="180"/>
      </w:pPr>
    </w:lvl>
  </w:abstractNum>
  <w:abstractNum w:abstractNumId="88">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89">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90">
    <w:nsid w:val="56DA3360"/>
    <w:multiLevelType w:val="hybridMultilevel"/>
    <w:tmpl w:val="2BF835CE"/>
    <w:lvl w:ilvl="0" w:tplc="8F866A0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92">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93">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4">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95">
    <w:nsid w:val="5B132DD2"/>
    <w:multiLevelType w:val="hybridMultilevel"/>
    <w:tmpl w:val="DA56B7DA"/>
    <w:lvl w:ilvl="0" w:tplc="7E503080">
      <w:start w:val="1"/>
      <w:numFmt w:val="bullet"/>
      <w:lvlRestart w:val="0"/>
      <w:lvlText w:val="·"/>
      <w:lvlJc w:val="left"/>
      <w:pPr>
        <w:tabs>
          <w:tab w:val="num" w:pos="0"/>
        </w:tabs>
        <w:ind w:left="1531" w:hanging="511"/>
      </w:pPr>
      <w:rPr>
        <w:rFonts w:ascii="SimSun" w:eastAsia="SimSun" w:hAnsi="Wingding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6">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97">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98">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9">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0">
    <w:nsid w:val="5C7B233C"/>
    <w:multiLevelType w:val="hybridMultilevel"/>
    <w:tmpl w:val="C9B842DC"/>
    <w:lvl w:ilvl="0" w:tplc="76BC7C78">
      <w:start w:val="1"/>
      <w:numFmt w:val="lowerLetter"/>
      <w:lvlRestart w:val="0"/>
      <w:lvlText w:val="(%1)"/>
      <w:lvlJc w:val="right"/>
      <w:pPr>
        <w:tabs>
          <w:tab w:val="num" w:pos="737"/>
        </w:tabs>
        <w:ind w:left="737" w:hanging="227"/>
      </w:pPr>
      <w:rPr>
        <w:rFonts w:ascii="Times New Roman" w:hAnsi="Times New Roman"/>
        <w:b w:val="0"/>
        <w:i w:val="0"/>
        <w:sz w:val="24"/>
      </w:rPr>
    </w:lvl>
    <w:lvl w:ilvl="1" w:tplc="04090019" w:tentative="1">
      <w:start w:val="1"/>
      <w:numFmt w:val="lowerLetter"/>
      <w:lvlText w:val="%2."/>
      <w:lvlJc w:val="left"/>
      <w:pPr>
        <w:tabs>
          <w:tab w:val="num" w:pos="646"/>
        </w:tabs>
        <w:ind w:left="646" w:hanging="360"/>
      </w:pPr>
    </w:lvl>
    <w:lvl w:ilvl="2" w:tplc="0409001B" w:tentative="1">
      <w:start w:val="1"/>
      <w:numFmt w:val="lowerRoman"/>
      <w:lvlText w:val="%3."/>
      <w:lvlJc w:val="right"/>
      <w:pPr>
        <w:tabs>
          <w:tab w:val="num" w:pos="1366"/>
        </w:tabs>
        <w:ind w:left="1366" w:hanging="180"/>
      </w:pPr>
    </w:lvl>
    <w:lvl w:ilvl="3" w:tplc="0409000F" w:tentative="1">
      <w:start w:val="1"/>
      <w:numFmt w:val="decimal"/>
      <w:lvlText w:val="%4."/>
      <w:lvlJc w:val="left"/>
      <w:pPr>
        <w:tabs>
          <w:tab w:val="num" w:pos="2086"/>
        </w:tabs>
        <w:ind w:left="2086" w:hanging="360"/>
      </w:pPr>
    </w:lvl>
    <w:lvl w:ilvl="4" w:tplc="04090019" w:tentative="1">
      <w:start w:val="1"/>
      <w:numFmt w:val="lowerLetter"/>
      <w:lvlText w:val="%5."/>
      <w:lvlJc w:val="left"/>
      <w:pPr>
        <w:tabs>
          <w:tab w:val="num" w:pos="2806"/>
        </w:tabs>
        <w:ind w:left="2806" w:hanging="360"/>
      </w:pPr>
    </w:lvl>
    <w:lvl w:ilvl="5" w:tplc="0409001B" w:tentative="1">
      <w:start w:val="1"/>
      <w:numFmt w:val="lowerRoman"/>
      <w:lvlText w:val="%6."/>
      <w:lvlJc w:val="right"/>
      <w:pPr>
        <w:tabs>
          <w:tab w:val="num" w:pos="3526"/>
        </w:tabs>
        <w:ind w:left="3526" w:hanging="180"/>
      </w:pPr>
    </w:lvl>
    <w:lvl w:ilvl="6" w:tplc="0409000F" w:tentative="1">
      <w:start w:val="1"/>
      <w:numFmt w:val="decimal"/>
      <w:lvlText w:val="%7."/>
      <w:lvlJc w:val="left"/>
      <w:pPr>
        <w:tabs>
          <w:tab w:val="num" w:pos="4246"/>
        </w:tabs>
        <w:ind w:left="4246" w:hanging="360"/>
      </w:pPr>
    </w:lvl>
    <w:lvl w:ilvl="7" w:tplc="04090019" w:tentative="1">
      <w:start w:val="1"/>
      <w:numFmt w:val="lowerLetter"/>
      <w:lvlText w:val="%8."/>
      <w:lvlJc w:val="left"/>
      <w:pPr>
        <w:tabs>
          <w:tab w:val="num" w:pos="4966"/>
        </w:tabs>
        <w:ind w:left="4966" w:hanging="360"/>
      </w:pPr>
    </w:lvl>
    <w:lvl w:ilvl="8" w:tplc="0409001B" w:tentative="1">
      <w:start w:val="1"/>
      <w:numFmt w:val="lowerRoman"/>
      <w:lvlText w:val="%9."/>
      <w:lvlJc w:val="right"/>
      <w:pPr>
        <w:tabs>
          <w:tab w:val="num" w:pos="5686"/>
        </w:tabs>
        <w:ind w:left="5686" w:hanging="180"/>
      </w:pPr>
    </w:lvl>
  </w:abstractNum>
  <w:abstractNum w:abstractNumId="101">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2">
    <w:nsid w:val="5CF03011"/>
    <w:multiLevelType w:val="hybridMultilevel"/>
    <w:tmpl w:val="79FC279C"/>
    <w:lvl w:ilvl="0" w:tplc="3FB2E9AE">
      <w:start w:val="1"/>
      <w:numFmt w:val="chineseCountingThousand"/>
      <w:lvlRestart w:val="0"/>
      <w:lvlText w:val="(%1)"/>
      <w:lvlJc w:val="right"/>
      <w:pPr>
        <w:tabs>
          <w:tab w:val="num" w:pos="170"/>
        </w:tabs>
        <w:ind w:left="170" w:hanging="170"/>
      </w:pPr>
      <w:rPr>
        <w:rFonts w:ascii="Times New Roman" w:hAnsi="Times New Roman"/>
        <w:sz w:val="20"/>
      </w:rPr>
    </w:lvl>
    <w:lvl w:ilvl="1" w:tplc="04090019" w:tentative="1">
      <w:start w:val="1"/>
      <w:numFmt w:val="lowerLetter"/>
      <w:lvlText w:val="%2."/>
      <w:lvlJc w:val="left"/>
      <w:pPr>
        <w:tabs>
          <w:tab w:val="num" w:pos="136"/>
        </w:tabs>
        <w:ind w:left="136" w:hanging="360"/>
      </w:p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103">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4">
    <w:nsid w:val="5D9C01C4"/>
    <w:multiLevelType w:val="hybridMultilevel"/>
    <w:tmpl w:val="FAAC39A8"/>
    <w:lvl w:ilvl="0" w:tplc="B8BC9514">
      <w:start w:val="1"/>
      <w:numFmt w:val="lowerLetter"/>
      <w:lvlRestart w:val="0"/>
      <w:lvlText w:val="(%1)"/>
      <w:lvlJc w:val="right"/>
      <w:pPr>
        <w:tabs>
          <w:tab w:val="num" w:pos="987"/>
        </w:tabs>
        <w:ind w:left="987" w:hanging="227"/>
      </w:pPr>
      <w:rPr>
        <w:rFonts w:ascii="Times New Roman" w:hAnsi="Times New Roman"/>
        <w:b w:val="0"/>
        <w:i w:val="0"/>
        <w:sz w:val="24"/>
      </w:rPr>
    </w:lvl>
    <w:lvl w:ilvl="1" w:tplc="04090019" w:tentative="1">
      <w:start w:val="1"/>
      <w:numFmt w:val="lowerLetter"/>
      <w:lvlText w:val="%2."/>
      <w:lvlJc w:val="left"/>
      <w:pPr>
        <w:tabs>
          <w:tab w:val="num" w:pos="896"/>
        </w:tabs>
        <w:ind w:left="896" w:hanging="360"/>
      </w:pPr>
    </w:lvl>
    <w:lvl w:ilvl="2" w:tplc="0409001B" w:tentative="1">
      <w:start w:val="1"/>
      <w:numFmt w:val="lowerRoman"/>
      <w:lvlText w:val="%3."/>
      <w:lvlJc w:val="right"/>
      <w:pPr>
        <w:tabs>
          <w:tab w:val="num" w:pos="1616"/>
        </w:tabs>
        <w:ind w:left="1616" w:hanging="180"/>
      </w:pPr>
    </w:lvl>
    <w:lvl w:ilvl="3" w:tplc="0409000F" w:tentative="1">
      <w:start w:val="1"/>
      <w:numFmt w:val="decimal"/>
      <w:lvlText w:val="%4."/>
      <w:lvlJc w:val="left"/>
      <w:pPr>
        <w:tabs>
          <w:tab w:val="num" w:pos="2336"/>
        </w:tabs>
        <w:ind w:left="2336" w:hanging="360"/>
      </w:pPr>
    </w:lvl>
    <w:lvl w:ilvl="4" w:tplc="04090019" w:tentative="1">
      <w:start w:val="1"/>
      <w:numFmt w:val="lowerLetter"/>
      <w:lvlText w:val="%5."/>
      <w:lvlJc w:val="left"/>
      <w:pPr>
        <w:tabs>
          <w:tab w:val="num" w:pos="3056"/>
        </w:tabs>
        <w:ind w:left="3056" w:hanging="360"/>
      </w:pPr>
    </w:lvl>
    <w:lvl w:ilvl="5" w:tplc="0409001B" w:tentative="1">
      <w:start w:val="1"/>
      <w:numFmt w:val="lowerRoman"/>
      <w:lvlText w:val="%6."/>
      <w:lvlJc w:val="right"/>
      <w:pPr>
        <w:tabs>
          <w:tab w:val="num" w:pos="3776"/>
        </w:tabs>
        <w:ind w:left="3776" w:hanging="180"/>
      </w:pPr>
    </w:lvl>
    <w:lvl w:ilvl="6" w:tplc="0409000F" w:tentative="1">
      <w:start w:val="1"/>
      <w:numFmt w:val="decimal"/>
      <w:lvlText w:val="%7."/>
      <w:lvlJc w:val="left"/>
      <w:pPr>
        <w:tabs>
          <w:tab w:val="num" w:pos="4496"/>
        </w:tabs>
        <w:ind w:left="4496" w:hanging="360"/>
      </w:pPr>
    </w:lvl>
    <w:lvl w:ilvl="7" w:tplc="04090019" w:tentative="1">
      <w:start w:val="1"/>
      <w:numFmt w:val="lowerLetter"/>
      <w:lvlText w:val="%8."/>
      <w:lvlJc w:val="left"/>
      <w:pPr>
        <w:tabs>
          <w:tab w:val="num" w:pos="5216"/>
        </w:tabs>
        <w:ind w:left="5216" w:hanging="360"/>
      </w:pPr>
    </w:lvl>
    <w:lvl w:ilvl="8" w:tplc="0409001B" w:tentative="1">
      <w:start w:val="1"/>
      <w:numFmt w:val="lowerRoman"/>
      <w:lvlText w:val="%9."/>
      <w:lvlJc w:val="right"/>
      <w:pPr>
        <w:tabs>
          <w:tab w:val="num" w:pos="5936"/>
        </w:tabs>
        <w:ind w:left="5936" w:hanging="180"/>
      </w:pPr>
    </w:lvl>
  </w:abstractNum>
  <w:abstractNum w:abstractNumId="105">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106">
    <w:nsid w:val="5E47032F"/>
    <w:multiLevelType w:val="hybridMultilevel"/>
    <w:tmpl w:val="99C47E8E"/>
    <w:lvl w:ilvl="0" w:tplc="89249D3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108">
    <w:nsid w:val="60670AEA"/>
    <w:multiLevelType w:val="hybridMultilevel"/>
    <w:tmpl w:val="C82CD656"/>
    <w:lvl w:ilvl="0" w:tplc="0D888F90">
      <w:start w:val="1"/>
      <w:numFmt w:val="lowerLetter"/>
      <w:lvlRestart w:val="0"/>
      <w:lvlText w:val="(%1)"/>
      <w:lvlJc w:val="right"/>
      <w:pPr>
        <w:tabs>
          <w:tab w:val="num" w:pos="987"/>
        </w:tabs>
        <w:ind w:left="987" w:hanging="227"/>
      </w:pPr>
      <w:rPr>
        <w:rFonts w:ascii="Times New Roman" w:hAnsi="Times New Roman" w:hint="eastAsia"/>
        <w:b w:val="0"/>
        <w:i w:val="0"/>
        <w:sz w:val="24"/>
      </w:rPr>
    </w:lvl>
    <w:lvl w:ilvl="1" w:tplc="04090019" w:tentative="1">
      <w:start w:val="1"/>
      <w:numFmt w:val="lowerLetter"/>
      <w:lvlText w:val="%2."/>
      <w:lvlJc w:val="left"/>
      <w:pPr>
        <w:tabs>
          <w:tab w:val="num" w:pos="896"/>
        </w:tabs>
        <w:ind w:left="896" w:hanging="360"/>
      </w:pPr>
    </w:lvl>
    <w:lvl w:ilvl="2" w:tplc="0409001B" w:tentative="1">
      <w:start w:val="1"/>
      <w:numFmt w:val="lowerRoman"/>
      <w:lvlText w:val="%3."/>
      <w:lvlJc w:val="right"/>
      <w:pPr>
        <w:tabs>
          <w:tab w:val="num" w:pos="1616"/>
        </w:tabs>
        <w:ind w:left="1616" w:hanging="180"/>
      </w:pPr>
    </w:lvl>
    <w:lvl w:ilvl="3" w:tplc="0409000F" w:tentative="1">
      <w:start w:val="1"/>
      <w:numFmt w:val="decimal"/>
      <w:lvlText w:val="%4."/>
      <w:lvlJc w:val="left"/>
      <w:pPr>
        <w:tabs>
          <w:tab w:val="num" w:pos="2336"/>
        </w:tabs>
        <w:ind w:left="2336" w:hanging="360"/>
      </w:pPr>
    </w:lvl>
    <w:lvl w:ilvl="4" w:tplc="04090019" w:tentative="1">
      <w:start w:val="1"/>
      <w:numFmt w:val="lowerLetter"/>
      <w:lvlText w:val="%5."/>
      <w:lvlJc w:val="left"/>
      <w:pPr>
        <w:tabs>
          <w:tab w:val="num" w:pos="3056"/>
        </w:tabs>
        <w:ind w:left="3056" w:hanging="360"/>
      </w:pPr>
    </w:lvl>
    <w:lvl w:ilvl="5" w:tplc="0409001B" w:tentative="1">
      <w:start w:val="1"/>
      <w:numFmt w:val="lowerRoman"/>
      <w:lvlText w:val="%6."/>
      <w:lvlJc w:val="right"/>
      <w:pPr>
        <w:tabs>
          <w:tab w:val="num" w:pos="3776"/>
        </w:tabs>
        <w:ind w:left="3776" w:hanging="180"/>
      </w:pPr>
    </w:lvl>
    <w:lvl w:ilvl="6" w:tplc="0409000F" w:tentative="1">
      <w:start w:val="1"/>
      <w:numFmt w:val="decimal"/>
      <w:lvlText w:val="%7."/>
      <w:lvlJc w:val="left"/>
      <w:pPr>
        <w:tabs>
          <w:tab w:val="num" w:pos="4496"/>
        </w:tabs>
        <w:ind w:left="4496" w:hanging="360"/>
      </w:pPr>
    </w:lvl>
    <w:lvl w:ilvl="7" w:tplc="04090019" w:tentative="1">
      <w:start w:val="1"/>
      <w:numFmt w:val="lowerLetter"/>
      <w:lvlText w:val="%8."/>
      <w:lvlJc w:val="left"/>
      <w:pPr>
        <w:tabs>
          <w:tab w:val="num" w:pos="5216"/>
        </w:tabs>
        <w:ind w:left="5216" w:hanging="360"/>
      </w:pPr>
    </w:lvl>
    <w:lvl w:ilvl="8" w:tplc="0409001B" w:tentative="1">
      <w:start w:val="1"/>
      <w:numFmt w:val="lowerRoman"/>
      <w:lvlText w:val="%9."/>
      <w:lvlJc w:val="right"/>
      <w:pPr>
        <w:tabs>
          <w:tab w:val="num" w:pos="5936"/>
        </w:tabs>
        <w:ind w:left="5936" w:hanging="180"/>
      </w:pPr>
    </w:lvl>
  </w:abstractNum>
  <w:abstractNum w:abstractNumId="109">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0">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111">
    <w:nsid w:val="639E6C22"/>
    <w:multiLevelType w:val="hybridMultilevel"/>
    <w:tmpl w:val="6C3CDAFA"/>
    <w:lvl w:ilvl="0" w:tplc="08D05AB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113">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4">
    <w:nsid w:val="654E2B4A"/>
    <w:multiLevelType w:val="hybridMultilevel"/>
    <w:tmpl w:val="C1B6DC02"/>
    <w:lvl w:ilvl="0" w:tplc="A922EC8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B69E4ABC">
      <w:start w:val="1"/>
      <w:numFmt w:val="chineseCountingThousand"/>
      <w:lvlRestart w:val="0"/>
      <w:lvlText w:val="(%2)"/>
      <w:lvlJc w:val="right"/>
      <w:pPr>
        <w:tabs>
          <w:tab w:val="num" w:pos="1250"/>
        </w:tabs>
        <w:ind w:left="1250" w:hanging="170"/>
      </w:pPr>
      <w:rPr>
        <w:rFonts w:ascii="Times New Roman" w:hAnsi="Times New Roman" w:hint="eastAsia"/>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116">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7">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118">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119">
    <w:nsid w:val="6B7B264B"/>
    <w:multiLevelType w:val="hybridMultilevel"/>
    <w:tmpl w:val="88E0A372"/>
    <w:lvl w:ilvl="0" w:tplc="3FCCE9F4">
      <w:start w:val="1"/>
      <w:numFmt w:val="lowerLetter"/>
      <w:lvlRestart w:val="0"/>
      <w:lvlText w:val="(%1)"/>
      <w:lvlJc w:val="right"/>
      <w:pPr>
        <w:tabs>
          <w:tab w:val="num" w:pos="1531"/>
        </w:tabs>
        <w:ind w:left="1531" w:hanging="227"/>
      </w:pPr>
      <w:rPr>
        <w:rFonts w:ascii="Times New Roman" w:hAnsi="Times New Roman"/>
        <w:b w:val="0"/>
        <w:i w:val="0"/>
        <w:sz w:val="24"/>
      </w:rPr>
    </w:lvl>
    <w:lvl w:ilvl="1" w:tplc="CAD86992">
      <w:start w:val="1"/>
      <w:numFmt w:val="decimal"/>
      <w:lvlRestart w:val="0"/>
      <w:lvlText w:val="(%2)"/>
      <w:lvlJc w:val="right"/>
      <w:pPr>
        <w:tabs>
          <w:tab w:val="num" w:pos="1307"/>
        </w:tabs>
        <w:ind w:left="1307" w:hanging="227"/>
      </w:pPr>
      <w:rPr>
        <w:rFonts w:ascii="Times New Roman" w:hAnsi="Times New Roman"/>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1">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2">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3">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4">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5">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6">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127">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128">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9">
    <w:nsid w:val="77350EFD"/>
    <w:multiLevelType w:val="hybridMultilevel"/>
    <w:tmpl w:val="69E6189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1">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132">
    <w:nsid w:val="7A6266F3"/>
    <w:multiLevelType w:val="hybridMultilevel"/>
    <w:tmpl w:val="7654EEE2"/>
    <w:lvl w:ilvl="0" w:tplc="3FCCE9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134">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135">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6">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7">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8">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46"/>
  </w:num>
  <w:num w:numId="2">
    <w:abstractNumId w:val="82"/>
  </w:num>
  <w:num w:numId="3">
    <w:abstractNumId w:val="54"/>
  </w:num>
  <w:num w:numId="4">
    <w:abstractNumId w:val="44"/>
  </w:num>
  <w:num w:numId="5">
    <w:abstractNumId w:val="46"/>
  </w:num>
  <w:num w:numId="6">
    <w:abstractNumId w:val="82"/>
  </w:num>
  <w:num w:numId="7">
    <w:abstractNumId w:val="54"/>
  </w:num>
  <w:num w:numId="8">
    <w:abstractNumId w:val="44"/>
  </w:num>
  <w:num w:numId="9">
    <w:abstractNumId w:val="46"/>
  </w:num>
  <w:num w:numId="10">
    <w:abstractNumId w:val="82"/>
  </w:num>
  <w:num w:numId="11">
    <w:abstractNumId w:val="54"/>
  </w:num>
  <w:num w:numId="12">
    <w:abstractNumId w:val="44"/>
  </w:num>
  <w:num w:numId="13">
    <w:abstractNumId w:val="46"/>
  </w:num>
  <w:num w:numId="14">
    <w:abstractNumId w:val="82"/>
  </w:num>
  <w:num w:numId="15">
    <w:abstractNumId w:val="54"/>
  </w:num>
  <w:num w:numId="16">
    <w:abstractNumId w:val="82"/>
  </w:num>
  <w:num w:numId="17">
    <w:abstractNumId w:val="54"/>
  </w:num>
  <w:num w:numId="18">
    <w:abstractNumId w:val="4"/>
  </w:num>
  <w:num w:numId="19">
    <w:abstractNumId w:val="82"/>
  </w:num>
  <w:num w:numId="20">
    <w:abstractNumId w:val="54"/>
  </w:num>
  <w:num w:numId="21">
    <w:abstractNumId w:val="129"/>
  </w:num>
  <w:num w:numId="22">
    <w:abstractNumId w:val="35"/>
  </w:num>
  <w:num w:numId="23">
    <w:abstractNumId w:val="35"/>
  </w:num>
  <w:num w:numId="24">
    <w:abstractNumId w:val="82"/>
  </w:num>
  <w:num w:numId="25">
    <w:abstractNumId w:val="54"/>
  </w:num>
  <w:num w:numId="26">
    <w:abstractNumId w:val="18"/>
  </w:num>
  <w:num w:numId="27">
    <w:abstractNumId w:val="105"/>
  </w:num>
  <w:num w:numId="28">
    <w:abstractNumId w:val="90"/>
  </w:num>
  <w:num w:numId="29">
    <w:abstractNumId w:val="73"/>
  </w:num>
  <w:num w:numId="30">
    <w:abstractNumId w:val="10"/>
  </w:num>
  <w:num w:numId="31">
    <w:abstractNumId w:val="28"/>
  </w:num>
  <w:num w:numId="32">
    <w:abstractNumId w:val="51"/>
  </w:num>
  <w:num w:numId="33">
    <w:abstractNumId w:val="102"/>
  </w:num>
  <w:num w:numId="34">
    <w:abstractNumId w:val="132"/>
  </w:num>
  <w:num w:numId="35">
    <w:abstractNumId w:val="119"/>
  </w:num>
  <w:num w:numId="36">
    <w:abstractNumId w:val="78"/>
  </w:num>
  <w:num w:numId="37">
    <w:abstractNumId w:val="104"/>
  </w:num>
  <w:num w:numId="38">
    <w:abstractNumId w:val="62"/>
  </w:num>
  <w:num w:numId="39">
    <w:abstractNumId w:val="52"/>
  </w:num>
  <w:num w:numId="40">
    <w:abstractNumId w:val="111"/>
  </w:num>
  <w:num w:numId="41">
    <w:abstractNumId w:val="45"/>
  </w:num>
  <w:num w:numId="42">
    <w:abstractNumId w:val="114"/>
  </w:num>
  <w:num w:numId="43">
    <w:abstractNumId w:val="13"/>
  </w:num>
  <w:num w:numId="44">
    <w:abstractNumId w:val="87"/>
  </w:num>
  <w:num w:numId="45">
    <w:abstractNumId w:val="34"/>
  </w:num>
  <w:num w:numId="46">
    <w:abstractNumId w:val="12"/>
  </w:num>
  <w:num w:numId="47">
    <w:abstractNumId w:val="108"/>
  </w:num>
  <w:num w:numId="48">
    <w:abstractNumId w:val="39"/>
  </w:num>
  <w:num w:numId="49">
    <w:abstractNumId w:val="42"/>
  </w:num>
  <w:num w:numId="50">
    <w:abstractNumId w:val="100"/>
  </w:num>
  <w:num w:numId="51">
    <w:abstractNumId w:val="101"/>
  </w:num>
  <w:num w:numId="52">
    <w:abstractNumId w:val="106"/>
  </w:num>
  <w:num w:numId="53">
    <w:abstractNumId w:val="56"/>
  </w:num>
  <w:num w:numId="54">
    <w:abstractNumId w:val="83"/>
  </w:num>
  <w:num w:numId="55">
    <w:abstractNumId w:val="38"/>
  </w:num>
  <w:num w:numId="56">
    <w:abstractNumId w:val="32"/>
  </w:num>
  <w:num w:numId="57">
    <w:abstractNumId w:val="74"/>
  </w:num>
  <w:num w:numId="58">
    <w:abstractNumId w:val="130"/>
  </w:num>
  <w:num w:numId="59">
    <w:abstractNumId w:val="0"/>
  </w:num>
  <w:num w:numId="60">
    <w:abstractNumId w:val="71"/>
  </w:num>
  <w:num w:numId="61">
    <w:abstractNumId w:val="37"/>
  </w:num>
  <w:num w:numId="62">
    <w:abstractNumId w:val="11"/>
  </w:num>
  <w:num w:numId="63">
    <w:abstractNumId w:val="21"/>
  </w:num>
  <w:num w:numId="64">
    <w:abstractNumId w:val="122"/>
  </w:num>
  <w:num w:numId="65">
    <w:abstractNumId w:val="29"/>
  </w:num>
  <w:num w:numId="66">
    <w:abstractNumId w:val="127"/>
  </w:num>
  <w:num w:numId="67">
    <w:abstractNumId w:val="79"/>
  </w:num>
  <w:num w:numId="68">
    <w:abstractNumId w:val="84"/>
  </w:num>
  <w:num w:numId="69">
    <w:abstractNumId w:val="5"/>
  </w:num>
  <w:num w:numId="70">
    <w:abstractNumId w:val="137"/>
  </w:num>
  <w:num w:numId="71">
    <w:abstractNumId w:val="121"/>
  </w:num>
  <w:num w:numId="72">
    <w:abstractNumId w:val="116"/>
  </w:num>
  <w:num w:numId="73">
    <w:abstractNumId w:val="7"/>
  </w:num>
  <w:num w:numId="74">
    <w:abstractNumId w:val="81"/>
  </w:num>
  <w:num w:numId="75">
    <w:abstractNumId w:val="88"/>
  </w:num>
  <w:num w:numId="76">
    <w:abstractNumId w:val="133"/>
  </w:num>
  <w:num w:numId="77">
    <w:abstractNumId w:val="70"/>
  </w:num>
  <w:num w:numId="78">
    <w:abstractNumId w:val="15"/>
  </w:num>
  <w:num w:numId="79">
    <w:abstractNumId w:val="9"/>
  </w:num>
  <w:num w:numId="80">
    <w:abstractNumId w:val="138"/>
  </w:num>
  <w:num w:numId="81">
    <w:abstractNumId w:val="1"/>
  </w:num>
  <w:num w:numId="82">
    <w:abstractNumId w:val="24"/>
  </w:num>
  <w:num w:numId="83">
    <w:abstractNumId w:val="125"/>
  </w:num>
  <w:num w:numId="84">
    <w:abstractNumId w:val="40"/>
  </w:num>
  <w:num w:numId="85">
    <w:abstractNumId w:val="115"/>
  </w:num>
  <w:num w:numId="86">
    <w:abstractNumId w:val="112"/>
  </w:num>
  <w:num w:numId="87">
    <w:abstractNumId w:val="55"/>
  </w:num>
  <w:num w:numId="88">
    <w:abstractNumId w:val="91"/>
  </w:num>
  <w:num w:numId="89">
    <w:abstractNumId w:val="98"/>
  </w:num>
  <w:num w:numId="90">
    <w:abstractNumId w:val="123"/>
  </w:num>
  <w:num w:numId="91">
    <w:abstractNumId w:val="6"/>
  </w:num>
  <w:num w:numId="92">
    <w:abstractNumId w:val="50"/>
  </w:num>
  <w:num w:numId="93">
    <w:abstractNumId w:val="134"/>
  </w:num>
  <w:num w:numId="94">
    <w:abstractNumId w:val="96"/>
  </w:num>
  <w:num w:numId="95">
    <w:abstractNumId w:val="117"/>
  </w:num>
  <w:num w:numId="96">
    <w:abstractNumId w:val="36"/>
  </w:num>
  <w:num w:numId="97">
    <w:abstractNumId w:val="53"/>
  </w:num>
  <w:num w:numId="98">
    <w:abstractNumId w:val="17"/>
  </w:num>
  <w:num w:numId="99">
    <w:abstractNumId w:val="107"/>
  </w:num>
  <w:num w:numId="100">
    <w:abstractNumId w:val="93"/>
  </w:num>
  <w:num w:numId="101">
    <w:abstractNumId w:val="61"/>
  </w:num>
  <w:num w:numId="102">
    <w:abstractNumId w:val="23"/>
  </w:num>
  <w:num w:numId="103">
    <w:abstractNumId w:val="94"/>
  </w:num>
  <w:num w:numId="104">
    <w:abstractNumId w:val="16"/>
  </w:num>
  <w:num w:numId="105">
    <w:abstractNumId w:val="60"/>
  </w:num>
  <w:num w:numId="106">
    <w:abstractNumId w:val="75"/>
  </w:num>
  <w:num w:numId="107">
    <w:abstractNumId w:val="131"/>
  </w:num>
  <w:num w:numId="108">
    <w:abstractNumId w:val="85"/>
  </w:num>
  <w:num w:numId="109">
    <w:abstractNumId w:val="64"/>
  </w:num>
  <w:num w:numId="110">
    <w:abstractNumId w:val="48"/>
  </w:num>
  <w:num w:numId="111">
    <w:abstractNumId w:val="77"/>
  </w:num>
  <w:num w:numId="112">
    <w:abstractNumId w:val="31"/>
  </w:num>
  <w:num w:numId="113">
    <w:abstractNumId w:val="110"/>
  </w:num>
  <w:num w:numId="114">
    <w:abstractNumId w:val="109"/>
  </w:num>
  <w:num w:numId="115">
    <w:abstractNumId w:val="2"/>
  </w:num>
  <w:num w:numId="116">
    <w:abstractNumId w:val="80"/>
  </w:num>
  <w:num w:numId="117">
    <w:abstractNumId w:val="30"/>
  </w:num>
  <w:num w:numId="118">
    <w:abstractNumId w:val="72"/>
  </w:num>
  <w:num w:numId="119">
    <w:abstractNumId w:val="14"/>
  </w:num>
  <w:num w:numId="120">
    <w:abstractNumId w:val="103"/>
  </w:num>
  <w:num w:numId="121">
    <w:abstractNumId w:val="69"/>
  </w:num>
  <w:num w:numId="122">
    <w:abstractNumId w:val="124"/>
  </w:num>
  <w:num w:numId="123">
    <w:abstractNumId w:val="118"/>
  </w:num>
  <w:num w:numId="124">
    <w:abstractNumId w:val="33"/>
  </w:num>
  <w:num w:numId="125">
    <w:abstractNumId w:val="66"/>
  </w:num>
  <w:num w:numId="126">
    <w:abstractNumId w:val="68"/>
  </w:num>
  <w:num w:numId="127">
    <w:abstractNumId w:val="22"/>
  </w:num>
  <w:num w:numId="128">
    <w:abstractNumId w:val="113"/>
  </w:num>
  <w:num w:numId="129">
    <w:abstractNumId w:val="3"/>
  </w:num>
  <w:num w:numId="130">
    <w:abstractNumId w:val="120"/>
  </w:num>
  <w:num w:numId="131">
    <w:abstractNumId w:val="43"/>
  </w:num>
  <w:num w:numId="132">
    <w:abstractNumId w:val="86"/>
  </w:num>
  <w:num w:numId="133">
    <w:abstractNumId w:val="26"/>
  </w:num>
  <w:num w:numId="134">
    <w:abstractNumId w:val="136"/>
  </w:num>
  <w:num w:numId="135">
    <w:abstractNumId w:val="128"/>
  </w:num>
  <w:num w:numId="136">
    <w:abstractNumId w:val="67"/>
  </w:num>
  <w:num w:numId="137">
    <w:abstractNumId w:val="135"/>
  </w:num>
  <w:num w:numId="138">
    <w:abstractNumId w:val="57"/>
  </w:num>
  <w:num w:numId="139">
    <w:abstractNumId w:val="99"/>
  </w:num>
  <w:num w:numId="140">
    <w:abstractNumId w:val="27"/>
  </w:num>
  <w:num w:numId="141">
    <w:abstractNumId w:val="63"/>
  </w:num>
  <w:num w:numId="142">
    <w:abstractNumId w:val="25"/>
  </w:num>
  <w:num w:numId="143">
    <w:abstractNumId w:val="41"/>
  </w:num>
  <w:num w:numId="144">
    <w:abstractNumId w:val="8"/>
  </w:num>
  <w:num w:numId="145">
    <w:abstractNumId w:val="126"/>
  </w:num>
  <w:num w:numId="146">
    <w:abstractNumId w:val="19"/>
  </w:num>
  <w:num w:numId="147">
    <w:abstractNumId w:val="92"/>
  </w:num>
  <w:num w:numId="148">
    <w:abstractNumId w:val="89"/>
  </w:num>
  <w:num w:numId="149">
    <w:abstractNumId w:val="97"/>
  </w:num>
  <w:num w:numId="150">
    <w:abstractNumId w:val="20"/>
  </w:num>
  <w:num w:numId="151">
    <w:abstractNumId w:val="49"/>
  </w:num>
  <w:num w:numId="152">
    <w:abstractNumId w:val="65"/>
  </w:num>
  <w:num w:numId="153">
    <w:abstractNumId w:val="76"/>
  </w:num>
  <w:num w:numId="154">
    <w:abstractNumId w:val="58"/>
  </w:num>
  <w:num w:numId="155">
    <w:abstractNumId w:val="95"/>
  </w:num>
  <w:num w:numId="156">
    <w:abstractNumId w:val="47"/>
  </w:num>
  <w:num w:numId="157">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widowControl w:val="0"/>
      <w:spacing w:line="288" w:lineRule="auto"/>
      <w:ind w:firstLine="510"/>
    </w:pPr>
    <w:rPr>
      <w:rFonts w:eastAsia="KaiTi_GB2312"/>
      <w:snapToGrid/>
      <w:spacing w:val="0"/>
    </w:rPr>
  </w:style>
  <w:style w:type="character" w:styleId="FootnoteReference">
    <w:name w:val="footnote reference"/>
    <w:semiHidden/>
    <w:rPr>
      <w:rFonts w:ascii="Univers (WN)" w:eastAsia="KaiTi_GB2312" w:hAnsi="Univers (WN)"/>
      <w:color w:val="0000FF"/>
      <w:spacing w:val="0"/>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semiHidden/>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style>
  <w:style w:type="paragraph" w:customStyle="1" w:styleId="a4">
    <w:name w:val="居中页眉"/>
    <w:basedOn w:val="Header"/>
    <w:pPr>
      <w:tabs>
        <w:tab w:val="left" w:pos="1202"/>
      </w:tabs>
      <w:snapToGrid/>
      <w:spacing w:line="288" w:lineRule="auto"/>
    </w:pPr>
  </w:style>
  <w:style w:type="paragraph" w:customStyle="1" w:styleId="a5">
    <w:name w:val="悬挂"/>
    <w:basedOn w:val="Normal"/>
    <w:pPr>
      <w:ind w:left="1531" w:hanging="510"/>
    </w:pPr>
  </w:style>
  <w:style w:type="paragraph" w:customStyle="1" w:styleId="a0">
    <w:name w:val="悬挂符号－"/>
    <w:basedOn w:val="a5"/>
    <w:pPr>
      <w:numPr>
        <w:numId w:val="24"/>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x">
    <w:name w:val="悬挂[(x)"/>
    <w:basedOn w:val="Normal"/>
    <w:pPr>
      <w:ind w:left="1531" w:hanging="595"/>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0">
    <w:name w:val="悬挂“(x)"/>
    <w:basedOn w:val="Normal"/>
    <w:pPr>
      <w:adjustRightInd/>
      <w:ind w:left="1531" w:hanging="794"/>
    </w:pPr>
  </w:style>
  <w:style w:type="character" w:styleId="EndnoteReference">
    <w:name w:val="endnote reference"/>
    <w:semiHidden/>
    <w:rPr>
      <w:rFonts w:ascii="Univers (WN)" w:eastAsia="KaiTi_GB2312" w:hAnsi="Univers (WN)"/>
      <w:color w:val="0000FF"/>
      <w:spacing w:val="0"/>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eastAsia="SimHei"/>
      <w:spacing w:val="10"/>
      <w:kern w:val="24"/>
      <w:sz w:val="24"/>
      <w:lang w:val="en-US" w:eastAsia="zh-CN"/>
    </w:rPr>
  </w:style>
  <w:style w:type="paragraph" w:customStyle="1" w:styleId="a8">
    <w:name w:val="黑体"/>
    <w:next w:val="Normal"/>
    <w:pPr>
      <w:widowControl w:val="0"/>
      <w:adjustRightInd w:val="0"/>
      <w:spacing w:line="336" w:lineRule="auto"/>
      <w:jc w:val="both"/>
      <w:textAlignment w:val="baseline"/>
    </w:pPr>
    <w:rPr>
      <w:rFonts w:eastAsia="SimHei"/>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styleId="BodyText">
    <w:name w:val="Body Text"/>
    <w:basedOn w:val="Normal"/>
    <w:semiHidden/>
    <w:pPr>
      <w:widowControl w:val="0"/>
    </w:pPr>
    <w:rPr>
      <w:snapToGrid/>
    </w:rPr>
  </w:style>
  <w:style w:type="paragraph" w:customStyle="1" w:styleId="cdL1">
    <w:name w:val="cdL1"/>
    <w:basedOn w:val="Normal"/>
    <w:pPr>
      <w:widowControl w:val="0"/>
      <w:tabs>
        <w:tab w:val="left" w:pos="510"/>
      </w:tabs>
    </w:pPr>
    <w:rPr>
      <w:snapToGrid/>
      <w:spacing w:val="0"/>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582</TotalTime>
  <Pages>1</Pages>
  <Words>12527</Words>
  <Characters>71408</Characters>
  <Application>Microsoft Office Word</Application>
  <DocSecurity>4</DocSecurity>
  <Lines>595</Lines>
  <Paragraphs>142</Paragraphs>
  <ScaleCrop>false</ScaleCrop>
  <HeadingPairs>
    <vt:vector size="2" baseType="variant">
      <vt:variant>
        <vt:lpstr>题目</vt:lpstr>
      </vt:variant>
      <vt:variant>
        <vt:i4>1</vt:i4>
      </vt:variant>
    </vt:vector>
  </HeadingPairs>
  <TitlesOfParts>
    <vt:vector size="1" baseType="lpstr">
      <vt:lpstr>E.dot</vt:lpstr>
    </vt:vector>
  </TitlesOfParts>
  <Company>ONU</Company>
  <LinksUpToDate>false</LinksUpToDate>
  <CharactersWithSpaces>87694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FUX</dc:creator>
  <cp:keywords/>
  <dc:description/>
  <cp:lastModifiedBy>TPS</cp:lastModifiedBy>
  <cp:revision>35</cp:revision>
  <cp:lastPrinted>2001-03-06T13:07:00Z</cp:lastPrinted>
  <dcterms:created xsi:type="dcterms:W3CDTF">2001-02-28T08:48:00Z</dcterms:created>
  <dcterms:modified xsi:type="dcterms:W3CDTF">2001-03-07T08:22:00Z</dcterms:modified>
</cp:coreProperties>
</file>