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RPr="004552AF"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4552AF" w:rsidRDefault="009E6CB7" w:rsidP="009E6CB7">
            <w:pPr>
              <w:spacing w:after="80" w:line="300" w:lineRule="exact"/>
              <w:rPr>
                <w:b/>
                <w:sz w:val="24"/>
                <w:szCs w:val="24"/>
              </w:rPr>
            </w:pPr>
            <w:r w:rsidRPr="004552AF">
              <w:rPr>
                <w:sz w:val="28"/>
                <w:szCs w:val="28"/>
              </w:rPr>
              <w:t>United Nations</w:t>
            </w:r>
          </w:p>
        </w:tc>
        <w:tc>
          <w:tcPr>
            <w:tcW w:w="6095" w:type="dxa"/>
            <w:gridSpan w:val="2"/>
            <w:tcBorders>
              <w:bottom w:val="single" w:sz="4" w:space="0" w:color="auto"/>
            </w:tcBorders>
            <w:vAlign w:val="bottom"/>
          </w:tcPr>
          <w:p w:rsidR="009E6CB7" w:rsidRPr="004552AF" w:rsidRDefault="007A357A" w:rsidP="007A357A">
            <w:pPr>
              <w:jc w:val="right"/>
            </w:pPr>
            <w:r w:rsidRPr="004552AF">
              <w:rPr>
                <w:sz w:val="40"/>
              </w:rPr>
              <w:t>E</w:t>
            </w:r>
            <w:r w:rsidRPr="004552AF">
              <w:t>/C.12/KWT/CO/2</w:t>
            </w:r>
          </w:p>
        </w:tc>
      </w:tr>
      <w:tr w:rsidR="009E6CB7" w:rsidRPr="004552AF" w:rsidTr="009E6CB7">
        <w:trPr>
          <w:cantSplit/>
          <w:trHeight w:hRule="exact" w:val="2835"/>
        </w:trPr>
        <w:tc>
          <w:tcPr>
            <w:tcW w:w="1276" w:type="dxa"/>
            <w:tcBorders>
              <w:top w:val="single" w:sz="4" w:space="0" w:color="auto"/>
              <w:bottom w:val="single" w:sz="12" w:space="0" w:color="auto"/>
            </w:tcBorders>
          </w:tcPr>
          <w:p w:rsidR="009E6CB7" w:rsidRPr="004552AF" w:rsidRDefault="00A14259" w:rsidP="009E6CB7">
            <w:pPr>
              <w:spacing w:before="120"/>
            </w:pPr>
            <w:r w:rsidRPr="00803E3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9E6CB7" w:rsidRPr="004552AF" w:rsidRDefault="009E6CB7" w:rsidP="009E6CB7">
            <w:pPr>
              <w:spacing w:before="120" w:line="420" w:lineRule="exact"/>
              <w:rPr>
                <w:sz w:val="40"/>
                <w:szCs w:val="40"/>
              </w:rPr>
            </w:pPr>
            <w:r w:rsidRPr="004552AF">
              <w:rPr>
                <w:b/>
                <w:sz w:val="40"/>
                <w:szCs w:val="40"/>
              </w:rPr>
              <w:t>Economic and Social Council</w:t>
            </w:r>
          </w:p>
        </w:tc>
        <w:tc>
          <w:tcPr>
            <w:tcW w:w="2835" w:type="dxa"/>
            <w:tcBorders>
              <w:top w:val="single" w:sz="4" w:space="0" w:color="auto"/>
              <w:bottom w:val="single" w:sz="12" w:space="0" w:color="auto"/>
            </w:tcBorders>
          </w:tcPr>
          <w:p w:rsidR="009E6CB7" w:rsidRPr="004552AF" w:rsidRDefault="007A357A" w:rsidP="007A357A">
            <w:pPr>
              <w:spacing w:before="240" w:line="240" w:lineRule="exact"/>
            </w:pPr>
            <w:r w:rsidRPr="004552AF">
              <w:t xml:space="preserve">Distr.: </w:t>
            </w:r>
            <w:r w:rsidR="00406C30">
              <w:t>General</w:t>
            </w:r>
          </w:p>
          <w:p w:rsidR="007A357A" w:rsidRPr="004552AF" w:rsidRDefault="00891A64" w:rsidP="007A357A">
            <w:pPr>
              <w:spacing w:line="240" w:lineRule="exact"/>
            </w:pPr>
            <w:r>
              <w:t>19</w:t>
            </w:r>
            <w:r w:rsidRPr="004552AF">
              <w:t xml:space="preserve"> </w:t>
            </w:r>
            <w:r w:rsidR="00526020">
              <w:t>Dec</w:t>
            </w:r>
            <w:r w:rsidR="00526020" w:rsidRPr="004552AF">
              <w:t xml:space="preserve">ember </w:t>
            </w:r>
            <w:r w:rsidR="007A357A" w:rsidRPr="004552AF">
              <w:t>2013</w:t>
            </w:r>
          </w:p>
          <w:p w:rsidR="007A357A" w:rsidRPr="004552AF" w:rsidRDefault="007A357A" w:rsidP="007A357A">
            <w:pPr>
              <w:spacing w:line="240" w:lineRule="exact"/>
            </w:pPr>
          </w:p>
          <w:p w:rsidR="007A357A" w:rsidRPr="004552AF" w:rsidRDefault="007A357A" w:rsidP="007A357A">
            <w:pPr>
              <w:spacing w:line="240" w:lineRule="exact"/>
            </w:pPr>
            <w:r w:rsidRPr="004552AF">
              <w:t>Original: English</w:t>
            </w:r>
          </w:p>
        </w:tc>
      </w:tr>
    </w:tbl>
    <w:p w:rsidR="007A357A" w:rsidRPr="004552AF" w:rsidRDefault="007A357A" w:rsidP="007A357A">
      <w:pPr>
        <w:spacing w:before="120"/>
      </w:pPr>
      <w:r w:rsidRPr="004552AF">
        <w:rPr>
          <w:b/>
          <w:sz w:val="24"/>
          <w:szCs w:val="24"/>
        </w:rPr>
        <w:t>Committee on Economic, Social and Cultural Rights</w:t>
      </w:r>
      <w:r w:rsidR="00CB57BC">
        <w:rPr>
          <w:noProof/>
          <w:lang w:val="en-US"/>
        </w:rPr>
        <w:pict>
          <v:shape id="_x0000_s1026" type="#_x0000_t75" style="position:absolute;margin-left:432.55pt;margin-top:623.6pt;width:50.25pt;height:50.25pt;z-index:1;mso-position-horizontal-relative:margin;mso-position-vertical-relative:margin" o:allowoverlap="f">
            <v:imagedata r:id="rId8" o:title="2&amp;Size=2 &amp;Lang=E"/>
            <w10:wrap anchorx="margin" anchory="margin"/>
          </v:shape>
        </w:pict>
      </w:r>
    </w:p>
    <w:p w:rsidR="007A357A" w:rsidRPr="004552AF" w:rsidRDefault="007A357A" w:rsidP="002B753F">
      <w:pPr>
        <w:pStyle w:val="HChG"/>
      </w:pPr>
      <w:r w:rsidRPr="004552AF">
        <w:tab/>
      </w:r>
      <w:r w:rsidRPr="004552AF">
        <w:tab/>
        <w:t>Concluding observations on the second periodic report of</w:t>
      </w:r>
      <w:r w:rsidR="002B753F">
        <w:t> </w:t>
      </w:r>
      <w:r w:rsidRPr="004552AF">
        <w:t>Kuwait</w:t>
      </w:r>
      <w:r w:rsidR="002B753F" w:rsidRPr="002B753F">
        <w:rPr>
          <w:rStyle w:val="FootnoteReference"/>
          <w:b w:val="0"/>
          <w:bCs/>
          <w:sz w:val="20"/>
          <w:vertAlign w:val="baseline"/>
        </w:rPr>
        <w:footnoteReference w:customMarkFollows="1" w:id="2"/>
        <w:t>*</w:t>
      </w:r>
    </w:p>
    <w:p w:rsidR="007A357A" w:rsidRPr="004552AF" w:rsidRDefault="007A357A" w:rsidP="00EF27D8">
      <w:pPr>
        <w:pStyle w:val="SingleTxtG"/>
        <w:numPr>
          <w:ilvl w:val="0"/>
          <w:numId w:val="19"/>
        </w:numPr>
        <w:tabs>
          <w:tab w:val="clear" w:pos="1637"/>
        </w:tabs>
        <w:ind w:left="1134" w:firstLine="0"/>
      </w:pPr>
      <w:r w:rsidRPr="004552AF">
        <w:t>The Committee on Economic, Social and Cultural Rights considered the second periodic report of Kuwait on the implementation of the International Covenant on Economic, Social a</w:t>
      </w:r>
      <w:r w:rsidR="00EE3678" w:rsidRPr="004552AF">
        <w:t>nd Cultural Rights (E/C.12/KWT/</w:t>
      </w:r>
      <w:r w:rsidRPr="004552AF">
        <w:t>2) at its 31st and 32nd meetings</w:t>
      </w:r>
      <w:r w:rsidR="00B53E34">
        <w:t>,</w:t>
      </w:r>
      <w:r w:rsidRPr="004552AF">
        <w:t xml:space="preserve"> held on 5 November 2013</w:t>
      </w:r>
      <w:r w:rsidR="00272639">
        <w:t xml:space="preserve"> </w:t>
      </w:r>
      <w:r w:rsidR="00272639" w:rsidRPr="004552AF">
        <w:t>(E/C.12/2013/SR.31</w:t>
      </w:r>
      <w:r w:rsidR="00272639">
        <w:t>–</w:t>
      </w:r>
      <w:r w:rsidR="00272639" w:rsidRPr="004552AF">
        <w:t>32</w:t>
      </w:r>
      <w:r w:rsidR="00272639">
        <w:t>)</w:t>
      </w:r>
      <w:r w:rsidRPr="004552AF">
        <w:t>, and adopted at its 68th</w:t>
      </w:r>
      <w:r w:rsidRPr="004552AF">
        <w:rPr>
          <w:lang w:eastAsia="ko-KR"/>
        </w:rPr>
        <w:t xml:space="preserve"> meeting</w:t>
      </w:r>
      <w:r w:rsidR="00B53E34">
        <w:rPr>
          <w:lang w:eastAsia="ko-KR"/>
        </w:rPr>
        <w:t>,</w:t>
      </w:r>
      <w:r w:rsidRPr="004552AF">
        <w:t xml:space="preserve"> held on 29 November 2013, the following concluding observations.</w:t>
      </w:r>
    </w:p>
    <w:p w:rsidR="007A357A" w:rsidRPr="004552AF" w:rsidRDefault="007A357A" w:rsidP="007A357A">
      <w:pPr>
        <w:pStyle w:val="HChG"/>
      </w:pPr>
      <w:r w:rsidRPr="004552AF">
        <w:tab/>
        <w:t>A.</w:t>
      </w:r>
      <w:r w:rsidRPr="004552AF">
        <w:tab/>
        <w:t>Introduction</w:t>
      </w:r>
    </w:p>
    <w:p w:rsidR="007A357A" w:rsidRPr="004552AF" w:rsidRDefault="007A357A" w:rsidP="00EF27D8">
      <w:pPr>
        <w:pStyle w:val="SingleTxtG"/>
        <w:numPr>
          <w:ilvl w:val="0"/>
          <w:numId w:val="19"/>
        </w:numPr>
        <w:tabs>
          <w:tab w:val="clear" w:pos="1637"/>
        </w:tabs>
        <w:ind w:left="1134" w:firstLine="0"/>
      </w:pPr>
      <w:r w:rsidRPr="004552AF">
        <w:t xml:space="preserve">The Committee notes with satisfaction the timely submission by </w:t>
      </w:r>
      <w:smartTag w:uri="urn:schemas-microsoft-com:office:smarttags" w:element="place">
        <w:smartTag w:uri="urn:schemas-microsoft-com:office:smarttags" w:element="country-region">
          <w:r w:rsidRPr="004552AF">
            <w:t>Kuwait</w:t>
          </w:r>
        </w:smartTag>
      </w:smartTag>
      <w:r w:rsidRPr="004552AF">
        <w:t xml:space="preserve"> of the second periodic report and the written replies to the list of issues (E/C.12/KWT/Q/2/Add.1). The Committee also welcomes the opportunity to engage with the State party’s large inter-ministerial delegation.</w:t>
      </w:r>
    </w:p>
    <w:p w:rsidR="007A357A" w:rsidRPr="004552AF" w:rsidRDefault="007A357A" w:rsidP="007A357A">
      <w:pPr>
        <w:pStyle w:val="HChG"/>
      </w:pPr>
      <w:r w:rsidRPr="004552AF">
        <w:tab/>
        <w:t>B.</w:t>
      </w:r>
      <w:r w:rsidRPr="004552AF">
        <w:tab/>
        <w:t>Positive aspects</w:t>
      </w:r>
    </w:p>
    <w:p w:rsidR="007A357A" w:rsidRPr="004552AF" w:rsidRDefault="007A357A" w:rsidP="00EF27D8">
      <w:pPr>
        <w:pStyle w:val="SingleTxtG"/>
        <w:numPr>
          <w:ilvl w:val="0"/>
          <w:numId w:val="19"/>
        </w:numPr>
        <w:tabs>
          <w:tab w:val="clear" w:pos="1637"/>
        </w:tabs>
        <w:ind w:left="1134" w:firstLine="0"/>
      </w:pPr>
      <w:r w:rsidRPr="004552AF">
        <w:t>The Committee welcomes</w:t>
      </w:r>
      <w:r w:rsidR="000D2675">
        <w:t xml:space="preserve"> the following actions by the State party</w:t>
      </w:r>
      <w:r w:rsidRPr="004552AF">
        <w:t>:</w:t>
      </w:r>
    </w:p>
    <w:p w:rsidR="007A357A" w:rsidRPr="004552AF" w:rsidRDefault="000D2675" w:rsidP="007A357A">
      <w:pPr>
        <w:pStyle w:val="SingleTxtG"/>
        <w:numPr>
          <w:ilvl w:val="0"/>
          <w:numId w:val="20"/>
        </w:numPr>
        <w:ind w:left="1134" w:firstLine="567"/>
        <w:rPr>
          <w:lang w:val="en-US"/>
        </w:rPr>
      </w:pPr>
      <w:r>
        <w:t>R</w:t>
      </w:r>
      <w:r w:rsidR="005C7316" w:rsidRPr="004552AF">
        <w:t xml:space="preserve">atification of the </w:t>
      </w:r>
      <w:r w:rsidR="007A357A" w:rsidRPr="004552AF">
        <w:t>Optional Protocols to the Convention on the Rights of the Child, on the involvement of children in armed confl</w:t>
      </w:r>
      <w:r w:rsidR="00D01B1E" w:rsidRPr="004552AF">
        <w:t xml:space="preserve">ict and on the sale of children, </w:t>
      </w:r>
      <w:r w:rsidR="007A357A" w:rsidRPr="004552AF">
        <w:t>child prostitution and child pornography</w:t>
      </w:r>
      <w:r w:rsidR="002C062D">
        <w:t>,</w:t>
      </w:r>
      <w:r w:rsidR="005C7316" w:rsidRPr="004552AF">
        <w:rPr>
          <w:lang w:val="en-US"/>
        </w:rPr>
        <w:t xml:space="preserve"> </w:t>
      </w:r>
      <w:r w:rsidR="007A357A" w:rsidRPr="004552AF">
        <w:rPr>
          <w:lang w:val="en-US"/>
        </w:rPr>
        <w:t>on 26 August 2004;</w:t>
      </w:r>
    </w:p>
    <w:p w:rsidR="007A357A" w:rsidRPr="004552AF" w:rsidRDefault="000D2675" w:rsidP="007A357A">
      <w:pPr>
        <w:pStyle w:val="SingleTxtG"/>
        <w:numPr>
          <w:ilvl w:val="0"/>
          <w:numId w:val="20"/>
        </w:numPr>
        <w:ind w:left="1134" w:firstLine="567"/>
        <w:rPr>
          <w:lang w:val="en-US"/>
        </w:rPr>
      </w:pPr>
      <w:r>
        <w:rPr>
          <w:lang w:val="en-US"/>
        </w:rPr>
        <w:t>R</w:t>
      </w:r>
      <w:r w:rsidR="005C7316" w:rsidRPr="004552AF">
        <w:rPr>
          <w:lang w:val="en-US"/>
        </w:rPr>
        <w:t xml:space="preserve">atification of </w:t>
      </w:r>
      <w:r>
        <w:rPr>
          <w:lang w:val="en-US"/>
        </w:rPr>
        <w:t xml:space="preserve">the </w:t>
      </w:r>
      <w:r w:rsidR="007A357A" w:rsidRPr="004552AF">
        <w:rPr>
          <w:lang w:val="en-US"/>
        </w:rPr>
        <w:t>Convention on the Rights of Persons with Disabilities</w:t>
      </w:r>
      <w:r>
        <w:rPr>
          <w:lang w:val="en-US"/>
        </w:rPr>
        <w:t>,</w:t>
      </w:r>
      <w:r w:rsidR="007A357A" w:rsidRPr="004552AF">
        <w:rPr>
          <w:lang w:val="en-US"/>
        </w:rPr>
        <w:t xml:space="preserve"> on 22 August 2013</w:t>
      </w:r>
      <w:r w:rsidR="00D01B1E" w:rsidRPr="004552AF">
        <w:rPr>
          <w:lang w:val="en-US"/>
        </w:rPr>
        <w:t>;</w:t>
      </w:r>
    </w:p>
    <w:p w:rsidR="00AA4BDA" w:rsidRPr="004552AF" w:rsidRDefault="000D2675" w:rsidP="007A357A">
      <w:pPr>
        <w:pStyle w:val="SingleTxtG"/>
        <w:numPr>
          <w:ilvl w:val="0"/>
          <w:numId w:val="20"/>
        </w:numPr>
        <w:ind w:left="1134" w:firstLine="567"/>
        <w:rPr>
          <w:lang w:val="en-US"/>
        </w:rPr>
      </w:pPr>
      <w:r>
        <w:rPr>
          <w:lang w:val="en-US"/>
        </w:rPr>
        <w:t>A</w:t>
      </w:r>
      <w:r w:rsidR="00AA4BDA" w:rsidRPr="004552AF">
        <w:rPr>
          <w:lang w:val="en-US"/>
        </w:rPr>
        <w:t xml:space="preserve">doption of </w:t>
      </w:r>
      <w:r>
        <w:rPr>
          <w:lang w:val="en-US"/>
        </w:rPr>
        <w:t>L</w:t>
      </w:r>
      <w:r w:rsidR="00AA4BDA" w:rsidRPr="004552AF">
        <w:rPr>
          <w:lang w:val="en-US"/>
        </w:rPr>
        <w:t xml:space="preserve">aw </w:t>
      </w:r>
      <w:r w:rsidR="00067C92">
        <w:rPr>
          <w:lang w:val="en-US"/>
        </w:rPr>
        <w:t>No. </w:t>
      </w:r>
      <w:r w:rsidR="00AA4BDA" w:rsidRPr="004552AF">
        <w:rPr>
          <w:lang w:val="en-US"/>
        </w:rPr>
        <w:t>91 of 2013 on the fight against trafficking in persons;</w:t>
      </w:r>
    </w:p>
    <w:p w:rsidR="00AA4BDA" w:rsidRPr="004552AF" w:rsidRDefault="000D2675" w:rsidP="007A357A">
      <w:pPr>
        <w:pStyle w:val="SingleTxtG"/>
        <w:numPr>
          <w:ilvl w:val="0"/>
          <w:numId w:val="20"/>
        </w:numPr>
        <w:ind w:left="1134" w:firstLine="567"/>
        <w:rPr>
          <w:lang w:val="en-US"/>
        </w:rPr>
      </w:pPr>
      <w:r>
        <w:rPr>
          <w:lang w:val="en-US"/>
        </w:rPr>
        <w:t>A</w:t>
      </w:r>
      <w:r w:rsidR="00AA4BDA" w:rsidRPr="004552AF">
        <w:rPr>
          <w:lang w:val="en-US"/>
        </w:rPr>
        <w:t xml:space="preserve">doption of </w:t>
      </w:r>
      <w:r w:rsidR="007842E9" w:rsidRPr="004552AF">
        <w:rPr>
          <w:lang w:val="en-US"/>
        </w:rPr>
        <w:t>the Ministerial Decree establishing the Committee on Women’s Affairs;</w:t>
      </w:r>
    </w:p>
    <w:p w:rsidR="007842E9" w:rsidRPr="004552AF" w:rsidRDefault="000D2675" w:rsidP="007A357A">
      <w:pPr>
        <w:pStyle w:val="SingleTxtG"/>
        <w:numPr>
          <w:ilvl w:val="0"/>
          <w:numId w:val="20"/>
        </w:numPr>
        <w:ind w:left="1134" w:firstLine="567"/>
        <w:rPr>
          <w:lang w:val="en-US"/>
        </w:rPr>
      </w:pPr>
      <w:r>
        <w:rPr>
          <w:lang w:val="en-US"/>
        </w:rPr>
        <w:t>C</w:t>
      </w:r>
      <w:r w:rsidR="007842E9" w:rsidRPr="004552AF">
        <w:rPr>
          <w:lang w:val="en-US"/>
        </w:rPr>
        <w:t>reation of the Office of Domestic Workers</w:t>
      </w:r>
      <w:r>
        <w:rPr>
          <w:lang w:val="en-US"/>
        </w:rPr>
        <w:t xml:space="preserve"> </w:t>
      </w:r>
      <w:r w:rsidRPr="004552AF">
        <w:rPr>
          <w:lang w:val="en-US"/>
        </w:rPr>
        <w:t>at the Ministry of Interior</w:t>
      </w:r>
      <w:r w:rsidR="007842E9" w:rsidRPr="004552AF">
        <w:rPr>
          <w:lang w:val="en-US"/>
        </w:rPr>
        <w:t>;</w:t>
      </w:r>
    </w:p>
    <w:p w:rsidR="007842E9" w:rsidRPr="004552AF" w:rsidRDefault="000D2675" w:rsidP="002B753F">
      <w:pPr>
        <w:pStyle w:val="SingleTxtG"/>
        <w:numPr>
          <w:ilvl w:val="0"/>
          <w:numId w:val="20"/>
        </w:numPr>
        <w:ind w:left="1134" w:firstLine="567"/>
        <w:rPr>
          <w:lang w:val="en-US"/>
        </w:rPr>
      </w:pPr>
      <w:r>
        <w:rPr>
          <w:lang w:val="en-US"/>
        </w:rPr>
        <w:t>E</w:t>
      </w:r>
      <w:r w:rsidR="007842E9" w:rsidRPr="004552AF">
        <w:rPr>
          <w:lang w:val="en-US"/>
        </w:rPr>
        <w:t xml:space="preserve">stablishment of </w:t>
      </w:r>
      <w:r w:rsidR="00177950">
        <w:rPr>
          <w:lang w:val="en-US"/>
        </w:rPr>
        <w:t>the</w:t>
      </w:r>
      <w:r w:rsidR="007842E9" w:rsidRPr="004552AF">
        <w:rPr>
          <w:lang w:val="en-US"/>
        </w:rPr>
        <w:t xml:space="preserve"> Central Body entrusted with finding a permanent solution </w:t>
      </w:r>
      <w:r w:rsidR="00177950">
        <w:rPr>
          <w:lang w:val="en-US"/>
        </w:rPr>
        <w:t>to</w:t>
      </w:r>
      <w:r w:rsidR="007842E9" w:rsidRPr="004552AF">
        <w:rPr>
          <w:lang w:val="en-US"/>
        </w:rPr>
        <w:t xml:space="preserve"> the stateless </w:t>
      </w:r>
      <w:proofErr w:type="spellStart"/>
      <w:r w:rsidR="007842E9" w:rsidRPr="004552AF">
        <w:rPr>
          <w:lang w:val="en-US"/>
        </w:rPr>
        <w:t>Bidoun</w:t>
      </w:r>
      <w:proofErr w:type="spellEnd"/>
      <w:r w:rsidR="007842E9" w:rsidRPr="004552AF">
        <w:rPr>
          <w:lang w:val="en-US"/>
        </w:rPr>
        <w:t xml:space="preserve"> population by 2015;</w:t>
      </w:r>
    </w:p>
    <w:p w:rsidR="007842E9" w:rsidRPr="004552AF" w:rsidRDefault="000D2675" w:rsidP="007A357A">
      <w:pPr>
        <w:pStyle w:val="SingleTxtG"/>
        <w:numPr>
          <w:ilvl w:val="0"/>
          <w:numId w:val="20"/>
        </w:numPr>
        <w:ind w:left="1134" w:firstLine="567"/>
        <w:rPr>
          <w:lang w:val="en-US"/>
        </w:rPr>
      </w:pPr>
      <w:r>
        <w:rPr>
          <w:lang w:eastAsia="ko-KR"/>
        </w:rPr>
        <w:t>M</w:t>
      </w:r>
      <w:r w:rsidR="007842E9" w:rsidRPr="004552AF">
        <w:rPr>
          <w:lang w:eastAsia="ko-KR"/>
        </w:rPr>
        <w:t>aintenance of a broad social programme whereby several services</w:t>
      </w:r>
      <w:r>
        <w:rPr>
          <w:lang w:eastAsia="ko-KR"/>
        </w:rPr>
        <w:t xml:space="preserve"> —</w:t>
      </w:r>
      <w:r w:rsidR="007842E9" w:rsidRPr="004552AF">
        <w:rPr>
          <w:lang w:eastAsia="ko-KR"/>
        </w:rPr>
        <w:t xml:space="preserve"> such as medical care in public health facilities and education at all levels</w:t>
      </w:r>
      <w:r>
        <w:rPr>
          <w:lang w:eastAsia="ko-KR"/>
        </w:rPr>
        <w:t xml:space="preserve"> —</w:t>
      </w:r>
      <w:r w:rsidR="007842E9" w:rsidRPr="004552AF">
        <w:rPr>
          <w:lang w:eastAsia="ko-KR"/>
        </w:rPr>
        <w:t xml:space="preserve"> are provided free of charge;</w:t>
      </w:r>
    </w:p>
    <w:p w:rsidR="007842E9" w:rsidRPr="004552AF" w:rsidRDefault="000D2675" w:rsidP="007A357A">
      <w:pPr>
        <w:pStyle w:val="SingleTxtG"/>
        <w:numPr>
          <w:ilvl w:val="0"/>
          <w:numId w:val="20"/>
        </w:numPr>
        <w:ind w:left="1134" w:firstLine="567"/>
        <w:rPr>
          <w:lang w:val="en-US"/>
        </w:rPr>
      </w:pPr>
      <w:r>
        <w:rPr>
          <w:lang w:val="en-US" w:eastAsia="ko-KR"/>
        </w:rPr>
        <w:t>I</w:t>
      </w:r>
      <w:r w:rsidR="007842E9" w:rsidRPr="004552AF">
        <w:rPr>
          <w:lang w:val="en-US" w:eastAsia="ko-KR"/>
        </w:rPr>
        <w:t>mplementation of an insurance scheme for work accident</w:t>
      </w:r>
      <w:r>
        <w:rPr>
          <w:lang w:val="en-US" w:eastAsia="ko-KR"/>
        </w:rPr>
        <w:t>s</w:t>
      </w:r>
      <w:r w:rsidR="007842E9" w:rsidRPr="004552AF">
        <w:rPr>
          <w:lang w:val="en-US" w:eastAsia="ko-KR"/>
        </w:rPr>
        <w:t xml:space="preserve"> and occupational diseases.</w:t>
      </w:r>
    </w:p>
    <w:p w:rsidR="007A357A" w:rsidRPr="004552AF" w:rsidRDefault="007A357A" w:rsidP="007A357A">
      <w:pPr>
        <w:pStyle w:val="HChG"/>
        <w:rPr>
          <w:bCs/>
        </w:rPr>
      </w:pPr>
      <w:r w:rsidRPr="004552AF">
        <w:tab/>
        <w:t>C.</w:t>
      </w:r>
      <w:r w:rsidRPr="004552AF">
        <w:tab/>
        <w:t>Principal subjects of concern and recommendations</w:t>
      </w:r>
    </w:p>
    <w:p w:rsidR="007A357A" w:rsidRPr="004552AF" w:rsidRDefault="007A357A" w:rsidP="00EF27D8">
      <w:pPr>
        <w:pStyle w:val="SingleTxtG"/>
        <w:numPr>
          <w:ilvl w:val="0"/>
          <w:numId w:val="19"/>
        </w:numPr>
        <w:tabs>
          <w:tab w:val="clear" w:pos="1637"/>
        </w:tabs>
        <w:ind w:left="1134" w:firstLine="0"/>
      </w:pPr>
      <w:r w:rsidRPr="004552AF">
        <w:t xml:space="preserve">The Committee regrets that the report </w:t>
      </w:r>
      <w:r w:rsidR="001F36F8">
        <w:t>only partially</w:t>
      </w:r>
      <w:r w:rsidRPr="004552AF">
        <w:t xml:space="preserve"> follow</w:t>
      </w:r>
      <w:r w:rsidR="001F36F8">
        <w:t>s</w:t>
      </w:r>
      <w:r w:rsidRPr="004552AF">
        <w:t xml:space="preserve"> the Committee’s reporting guidelines</w:t>
      </w:r>
      <w:r w:rsidR="00FB1853">
        <w:t xml:space="preserve">, and </w:t>
      </w:r>
      <w:r w:rsidR="00E91100" w:rsidRPr="004552AF">
        <w:t xml:space="preserve">that </w:t>
      </w:r>
      <w:r w:rsidRPr="004552AF">
        <w:t xml:space="preserve">the replies to the list of issues </w:t>
      </w:r>
      <w:r w:rsidRPr="004552AF">
        <w:rPr>
          <w:lang w:val="en-US"/>
        </w:rPr>
        <w:t>lack</w:t>
      </w:r>
      <w:r w:rsidRPr="004552AF">
        <w:t xml:space="preserve"> statistical data</w:t>
      </w:r>
      <w:r w:rsidR="00C77EB4" w:rsidRPr="004552AF">
        <w:rPr>
          <w:rStyle w:val="FootnoteReference"/>
        </w:rPr>
        <w:footnoteReference w:id="3"/>
      </w:r>
      <w:r w:rsidRPr="004552AF">
        <w:t xml:space="preserve"> </w:t>
      </w:r>
      <w:r w:rsidR="00EE3678" w:rsidRPr="004552AF">
        <w:t>and</w:t>
      </w:r>
      <w:r w:rsidR="00E91100" w:rsidRPr="004552AF">
        <w:t xml:space="preserve"> more</w:t>
      </w:r>
      <w:r w:rsidRPr="004552AF">
        <w:t xml:space="preserve"> precise information to enable the Committee to make </w:t>
      </w:r>
      <w:r w:rsidR="002C062D">
        <w:t xml:space="preserve">an </w:t>
      </w:r>
      <w:r w:rsidRPr="004552AF">
        <w:t>assessment of the actual and progressive reali</w:t>
      </w:r>
      <w:r w:rsidR="00FB1853">
        <w:t>z</w:t>
      </w:r>
      <w:r w:rsidRPr="004552AF">
        <w:t xml:space="preserve">ation of economic, social and cultural rights in the State party. The Committee also finds that the </w:t>
      </w:r>
      <w:r w:rsidRPr="004552AF">
        <w:rPr>
          <w:lang w:val="en-US"/>
        </w:rPr>
        <w:t>oral replies to the questions raised during the dialogue</w:t>
      </w:r>
      <w:r w:rsidRPr="004552AF">
        <w:t xml:space="preserve"> were often general and at times </w:t>
      </w:r>
      <w:r w:rsidR="00E91100" w:rsidRPr="004552AF">
        <w:t>elusive</w:t>
      </w:r>
      <w:r w:rsidRPr="004552AF">
        <w:t>.</w:t>
      </w:r>
    </w:p>
    <w:p w:rsidR="007A357A" w:rsidRPr="00F032DA" w:rsidRDefault="007A357A" w:rsidP="00676F8F">
      <w:pPr>
        <w:pStyle w:val="SingleTxtG"/>
        <w:tabs>
          <w:tab w:val="left" w:pos="1701"/>
        </w:tabs>
        <w:rPr>
          <w:b/>
          <w:bCs/>
          <w:highlight w:val="yellow"/>
          <w:lang w:val="en-US"/>
        </w:rPr>
      </w:pPr>
      <w:r w:rsidRPr="004552AF">
        <w:rPr>
          <w:b/>
          <w:bCs/>
        </w:rPr>
        <w:t xml:space="preserve">The Committee recommends that the State party include in its next periodic report </w:t>
      </w:r>
      <w:r w:rsidR="00E91100" w:rsidRPr="004552AF">
        <w:rPr>
          <w:b/>
          <w:bCs/>
        </w:rPr>
        <w:t xml:space="preserve">detailed </w:t>
      </w:r>
      <w:r w:rsidRPr="004552AF">
        <w:rPr>
          <w:b/>
          <w:bCs/>
        </w:rPr>
        <w:t>information on the actual fulfilment of economic, social and cultural rights by the various segments of its population, including statistical data disaggregated by year, sex and other relevant criteria, in accordance with the Committee’s reporting guidelines (E/C.12/2008/2).</w:t>
      </w:r>
      <w:r w:rsidR="00676F8F">
        <w:rPr>
          <w:b/>
          <w:bCs/>
        </w:rPr>
        <w:t xml:space="preserve"> </w:t>
      </w:r>
      <w:r w:rsidR="006C7CA2" w:rsidRPr="00676F8F">
        <w:rPr>
          <w:b/>
        </w:rPr>
        <w:t>The</w:t>
      </w:r>
      <w:r w:rsidR="006C7CA2" w:rsidRPr="00676F8F">
        <w:rPr>
          <w:b/>
          <w:bCs/>
        </w:rPr>
        <w:t xml:space="preserve"> Committee</w:t>
      </w:r>
      <w:r w:rsidRPr="00676F8F">
        <w:rPr>
          <w:b/>
          <w:bCs/>
        </w:rPr>
        <w:t xml:space="preserve"> </w:t>
      </w:r>
      <w:r w:rsidR="00676F8F">
        <w:rPr>
          <w:b/>
          <w:bCs/>
        </w:rPr>
        <w:t xml:space="preserve">also </w:t>
      </w:r>
      <w:r w:rsidR="002A569F" w:rsidRPr="00676F8F">
        <w:rPr>
          <w:b/>
          <w:bCs/>
          <w:lang w:val="en-US"/>
        </w:rPr>
        <w:t>recommends</w:t>
      </w:r>
      <w:r w:rsidR="0039243A" w:rsidRPr="00676F8F">
        <w:rPr>
          <w:b/>
          <w:bCs/>
          <w:lang w:val="en-US"/>
        </w:rPr>
        <w:t xml:space="preserve"> that</w:t>
      </w:r>
      <w:r w:rsidR="00E064F5">
        <w:rPr>
          <w:b/>
          <w:bCs/>
          <w:lang w:val="en-US"/>
        </w:rPr>
        <w:t>,</w:t>
      </w:r>
      <w:r w:rsidR="002A569F" w:rsidRPr="00676F8F">
        <w:rPr>
          <w:b/>
          <w:bCs/>
          <w:lang w:val="en-US"/>
        </w:rPr>
        <w:t xml:space="preserve"> </w:t>
      </w:r>
      <w:r w:rsidR="00676F8F">
        <w:rPr>
          <w:b/>
          <w:bCs/>
          <w:lang w:val="en-US"/>
        </w:rPr>
        <w:t xml:space="preserve">in </w:t>
      </w:r>
      <w:r w:rsidR="0039243A" w:rsidRPr="00676F8F">
        <w:rPr>
          <w:b/>
          <w:bCs/>
          <w:lang w:val="en-US"/>
        </w:rPr>
        <w:t>implementin</w:t>
      </w:r>
      <w:r w:rsidR="00676F8F">
        <w:rPr>
          <w:b/>
          <w:bCs/>
          <w:lang w:val="en-US"/>
        </w:rPr>
        <w:t>g</w:t>
      </w:r>
      <w:r w:rsidR="0039243A" w:rsidRPr="00676F8F">
        <w:rPr>
          <w:b/>
          <w:bCs/>
          <w:lang w:val="en-US"/>
        </w:rPr>
        <w:t xml:space="preserve"> the </w:t>
      </w:r>
      <w:r w:rsidR="00676F8F">
        <w:rPr>
          <w:b/>
          <w:bCs/>
          <w:lang w:val="en-US"/>
        </w:rPr>
        <w:t xml:space="preserve">present </w:t>
      </w:r>
      <w:r w:rsidR="0039243A" w:rsidRPr="00676F8F">
        <w:rPr>
          <w:b/>
          <w:bCs/>
          <w:lang w:val="en-US"/>
        </w:rPr>
        <w:t xml:space="preserve">concluding observations as well as </w:t>
      </w:r>
      <w:r w:rsidR="00676F8F">
        <w:rPr>
          <w:b/>
          <w:bCs/>
          <w:lang w:val="en-US"/>
        </w:rPr>
        <w:t xml:space="preserve">in </w:t>
      </w:r>
      <w:r w:rsidR="0039243A" w:rsidRPr="00676F8F">
        <w:rPr>
          <w:b/>
          <w:bCs/>
          <w:lang w:val="en-US"/>
        </w:rPr>
        <w:t>its efforts to effectively implement economic, social and cultural rights</w:t>
      </w:r>
      <w:r w:rsidR="00676F8F">
        <w:rPr>
          <w:b/>
          <w:bCs/>
          <w:lang w:val="en-US"/>
        </w:rPr>
        <w:t>,</w:t>
      </w:r>
      <w:r w:rsidR="00E064F5">
        <w:rPr>
          <w:b/>
          <w:bCs/>
          <w:lang w:val="en-US"/>
        </w:rPr>
        <w:t xml:space="preserve"> the State party</w:t>
      </w:r>
      <w:r w:rsidR="0039243A" w:rsidRPr="00676F8F">
        <w:rPr>
          <w:b/>
          <w:bCs/>
          <w:lang w:val="en-US"/>
        </w:rPr>
        <w:t xml:space="preserve"> </w:t>
      </w:r>
      <w:r w:rsidRPr="00676F8F">
        <w:rPr>
          <w:b/>
          <w:bCs/>
          <w:lang w:val="en-US"/>
        </w:rPr>
        <w:t xml:space="preserve">be </w:t>
      </w:r>
      <w:r w:rsidR="00E91100" w:rsidRPr="00676F8F">
        <w:rPr>
          <w:b/>
          <w:bCs/>
          <w:lang w:val="en-US"/>
        </w:rPr>
        <w:t>guided by</w:t>
      </w:r>
      <w:r w:rsidR="002A569F" w:rsidRPr="00676F8F">
        <w:rPr>
          <w:b/>
          <w:bCs/>
          <w:lang w:val="en-US"/>
        </w:rPr>
        <w:t xml:space="preserve"> the</w:t>
      </w:r>
      <w:r w:rsidR="00E91100" w:rsidRPr="00676F8F">
        <w:rPr>
          <w:b/>
          <w:bCs/>
          <w:lang w:val="en-US"/>
        </w:rPr>
        <w:t xml:space="preserve"> </w:t>
      </w:r>
      <w:r w:rsidR="002A569F" w:rsidRPr="00676F8F">
        <w:rPr>
          <w:b/>
          <w:bCs/>
          <w:lang w:val="en-US"/>
        </w:rPr>
        <w:t xml:space="preserve">Committee’s </w:t>
      </w:r>
      <w:r w:rsidRPr="00676F8F">
        <w:rPr>
          <w:b/>
          <w:bCs/>
          <w:lang w:val="en-US"/>
        </w:rPr>
        <w:t xml:space="preserve">general comments, which elaborate on the normative content of rights and the obligations of </w:t>
      </w:r>
      <w:r w:rsidR="00E064F5">
        <w:rPr>
          <w:b/>
          <w:bCs/>
          <w:lang w:val="en-US"/>
        </w:rPr>
        <w:t>S</w:t>
      </w:r>
      <w:r w:rsidRPr="00676F8F">
        <w:rPr>
          <w:b/>
          <w:bCs/>
          <w:lang w:val="en-US"/>
        </w:rPr>
        <w:t>tates parties.</w:t>
      </w:r>
      <w:r w:rsidR="0039243A" w:rsidRPr="00676F8F">
        <w:rPr>
          <w:b/>
          <w:bCs/>
          <w:lang w:val="en-US"/>
        </w:rPr>
        <w:t xml:space="preserve"> </w:t>
      </w:r>
      <w:r w:rsidR="006C7CA2" w:rsidRPr="00676F8F">
        <w:rPr>
          <w:b/>
          <w:bCs/>
          <w:lang w:val="en-US"/>
        </w:rPr>
        <w:t>T</w:t>
      </w:r>
      <w:r w:rsidR="0039243A" w:rsidRPr="00676F8F">
        <w:rPr>
          <w:b/>
          <w:bCs/>
          <w:lang w:val="en-US"/>
        </w:rPr>
        <w:t>he Committee</w:t>
      </w:r>
      <w:r w:rsidR="006C7CA2" w:rsidRPr="00676F8F">
        <w:rPr>
          <w:b/>
          <w:bCs/>
          <w:lang w:val="en-US"/>
        </w:rPr>
        <w:t xml:space="preserve"> </w:t>
      </w:r>
      <w:r w:rsidR="00E064F5">
        <w:rPr>
          <w:b/>
          <w:bCs/>
          <w:lang w:val="en-US"/>
        </w:rPr>
        <w:t>further</w:t>
      </w:r>
      <w:r w:rsidR="0039243A" w:rsidRPr="00676F8F">
        <w:rPr>
          <w:b/>
          <w:bCs/>
          <w:lang w:val="en-US"/>
        </w:rPr>
        <w:t xml:space="preserve"> recommends that </w:t>
      </w:r>
      <w:r w:rsidR="00E064F5">
        <w:rPr>
          <w:b/>
          <w:bCs/>
          <w:lang w:val="en-US"/>
        </w:rPr>
        <w:t xml:space="preserve">the State party properly involve </w:t>
      </w:r>
      <w:r w:rsidR="0039243A" w:rsidRPr="00676F8F">
        <w:rPr>
          <w:b/>
          <w:bCs/>
          <w:lang w:val="en-US"/>
        </w:rPr>
        <w:t>civil society in these efforts as well as in the preparation of the next periodic report.</w:t>
      </w:r>
    </w:p>
    <w:p w:rsidR="007A357A" w:rsidRPr="004552AF" w:rsidRDefault="007A357A" w:rsidP="00EF27D8">
      <w:pPr>
        <w:pStyle w:val="SingleTxtG"/>
        <w:numPr>
          <w:ilvl w:val="0"/>
          <w:numId w:val="19"/>
        </w:numPr>
        <w:tabs>
          <w:tab w:val="clear" w:pos="1637"/>
        </w:tabs>
        <w:ind w:left="1134" w:firstLine="0"/>
      </w:pPr>
      <w:r w:rsidRPr="004552AF">
        <w:t>The Committee regrets that information</w:t>
      </w:r>
      <w:r w:rsidR="00E064F5">
        <w:t xml:space="preserve"> was not provided </w:t>
      </w:r>
      <w:r w:rsidRPr="004552AF">
        <w:t xml:space="preserve">on jurisprudence invoking the Covenant </w:t>
      </w:r>
      <w:r w:rsidR="00C2279D" w:rsidRPr="004552AF">
        <w:t xml:space="preserve">before </w:t>
      </w:r>
      <w:r w:rsidR="002A569F" w:rsidRPr="004552AF">
        <w:t xml:space="preserve">national </w:t>
      </w:r>
      <w:r w:rsidR="00C2279D" w:rsidRPr="004552AF">
        <w:t xml:space="preserve">tribunals and administrative instances </w:t>
      </w:r>
      <w:r w:rsidR="00E064F5">
        <w:t xml:space="preserve">in relation to </w:t>
      </w:r>
      <w:r w:rsidR="00C2279D" w:rsidRPr="004552AF">
        <w:t>individuals or groups alleging violation of the</w:t>
      </w:r>
      <w:r w:rsidR="002A569F" w:rsidRPr="004552AF">
        <w:t>ir</w:t>
      </w:r>
      <w:r w:rsidR="00C2279D" w:rsidRPr="004552AF">
        <w:t xml:space="preserve"> economic, social and cultural rights</w:t>
      </w:r>
      <w:r w:rsidRPr="004552AF">
        <w:t xml:space="preserve">, in spite of the </w:t>
      </w:r>
      <w:r w:rsidR="00353ED6" w:rsidRPr="004552AF">
        <w:t>fact</w:t>
      </w:r>
      <w:r w:rsidRPr="004552AF">
        <w:t xml:space="preserve"> that </w:t>
      </w:r>
      <w:r w:rsidR="00E064F5">
        <w:t xml:space="preserve">the </w:t>
      </w:r>
      <w:r w:rsidRPr="004552AF">
        <w:t>provisions</w:t>
      </w:r>
      <w:r w:rsidR="00E064F5">
        <w:t xml:space="preserve"> of the Covenant</w:t>
      </w:r>
      <w:r w:rsidRPr="004552AF">
        <w:t xml:space="preserve"> form part of the State party’s law</w:t>
      </w:r>
      <w:r w:rsidR="00C2279D" w:rsidRPr="004552AF">
        <w:t>,</w:t>
      </w:r>
      <w:r w:rsidRPr="004552AF">
        <w:t xml:space="preserve"> in accordance with article 70 of the Constitution.</w:t>
      </w:r>
    </w:p>
    <w:p w:rsidR="007A357A" w:rsidRPr="004552AF" w:rsidRDefault="007A357A" w:rsidP="007A357A">
      <w:pPr>
        <w:pStyle w:val="SingleTxtG"/>
        <w:tabs>
          <w:tab w:val="left" w:pos="1701"/>
        </w:tabs>
        <w:rPr>
          <w:b/>
          <w:bCs/>
          <w:lang w:val="en-US"/>
        </w:rPr>
      </w:pPr>
      <w:r w:rsidRPr="004552AF">
        <w:rPr>
          <w:b/>
          <w:bCs/>
          <w:lang w:val="en-US"/>
        </w:rPr>
        <w:t>The Committee recommends that the State party raise awareness among members of the judiciary</w:t>
      </w:r>
      <w:r w:rsidR="00C2279D" w:rsidRPr="004552AF">
        <w:rPr>
          <w:b/>
          <w:bCs/>
          <w:lang w:val="en-US"/>
        </w:rPr>
        <w:t xml:space="preserve">, </w:t>
      </w:r>
      <w:r w:rsidR="0039243A">
        <w:rPr>
          <w:b/>
          <w:bCs/>
          <w:lang w:val="en-US"/>
        </w:rPr>
        <w:t xml:space="preserve">lawyers, </w:t>
      </w:r>
      <w:r w:rsidR="007842E9" w:rsidRPr="004552AF">
        <w:rPr>
          <w:b/>
          <w:bCs/>
          <w:lang w:val="en-US"/>
        </w:rPr>
        <w:t xml:space="preserve">public </w:t>
      </w:r>
      <w:r w:rsidR="00C2279D" w:rsidRPr="004552AF">
        <w:rPr>
          <w:b/>
          <w:bCs/>
          <w:lang w:val="en-US"/>
        </w:rPr>
        <w:t>administration</w:t>
      </w:r>
      <w:r w:rsidRPr="004552AF">
        <w:rPr>
          <w:b/>
          <w:bCs/>
          <w:lang w:val="en-US"/>
        </w:rPr>
        <w:t xml:space="preserve"> and the general public of the Covenant and the justifiability of economic, social and cultural rights. The Committee requests that the State party include information in its next periodic report on decisions by courts and administrative authorities that give effect to the rights set forth in the Covenant. The Committee draws the State party’s attention to its general comment </w:t>
      </w:r>
      <w:r w:rsidR="00067C92">
        <w:rPr>
          <w:b/>
          <w:bCs/>
          <w:lang w:val="en-US"/>
        </w:rPr>
        <w:t>No. </w:t>
      </w:r>
      <w:r w:rsidRPr="004552AF">
        <w:rPr>
          <w:b/>
          <w:bCs/>
          <w:lang w:val="en-US"/>
        </w:rPr>
        <w:t>9 (1998) on the domestic application of the Covenant.</w:t>
      </w:r>
    </w:p>
    <w:p w:rsidR="007A357A" w:rsidRPr="004552AF" w:rsidRDefault="007A357A" w:rsidP="00AE6038">
      <w:pPr>
        <w:pStyle w:val="SingleTxtG"/>
        <w:numPr>
          <w:ilvl w:val="0"/>
          <w:numId w:val="19"/>
        </w:numPr>
        <w:tabs>
          <w:tab w:val="clear" w:pos="1637"/>
        </w:tabs>
        <w:ind w:left="1134" w:firstLine="0"/>
      </w:pPr>
      <w:r w:rsidRPr="004552AF">
        <w:t>The Committee reiterates its concern about the reservations and declarations made by the State party in respect of the provisions of articles</w:t>
      </w:r>
      <w:r w:rsidR="00AE6038">
        <w:t> </w:t>
      </w:r>
      <w:r w:rsidRPr="004552AF">
        <w:t>2</w:t>
      </w:r>
      <w:r w:rsidR="00E064F5">
        <w:t xml:space="preserve">, paragraph </w:t>
      </w:r>
      <w:r w:rsidRPr="004552AF">
        <w:t>2, 3, 8</w:t>
      </w:r>
      <w:r w:rsidR="00E064F5">
        <w:t xml:space="preserve">, paragraph </w:t>
      </w:r>
      <w:r w:rsidRPr="004552AF">
        <w:t>1</w:t>
      </w:r>
      <w:r w:rsidR="00E064F5">
        <w:t xml:space="preserve"> </w:t>
      </w:r>
      <w:r w:rsidRPr="004552AF">
        <w:t>(d)</w:t>
      </w:r>
      <w:r w:rsidR="00E064F5">
        <w:t>,</w:t>
      </w:r>
      <w:r w:rsidRPr="004552AF">
        <w:t xml:space="preserve"> and 9 of the Covenant.</w:t>
      </w:r>
    </w:p>
    <w:p w:rsidR="007A357A" w:rsidRPr="004552AF" w:rsidRDefault="007A357A" w:rsidP="007A357A">
      <w:pPr>
        <w:pStyle w:val="SingleTxtG"/>
        <w:tabs>
          <w:tab w:val="left" w:pos="1701"/>
        </w:tabs>
        <w:rPr>
          <w:b/>
          <w:bCs/>
        </w:rPr>
      </w:pPr>
      <w:r w:rsidRPr="004552AF">
        <w:rPr>
          <w:b/>
          <w:bCs/>
          <w:lang w:val="en-US"/>
        </w:rPr>
        <w:t xml:space="preserve">The Committee calls on the State party to </w:t>
      </w:r>
      <w:r w:rsidR="006D1B86">
        <w:rPr>
          <w:b/>
          <w:bCs/>
          <w:lang w:val="en-US"/>
        </w:rPr>
        <w:t xml:space="preserve">consider </w:t>
      </w:r>
      <w:r w:rsidRPr="004552AF">
        <w:rPr>
          <w:b/>
          <w:bCs/>
          <w:lang w:val="en-US"/>
        </w:rPr>
        <w:t>withdraw</w:t>
      </w:r>
      <w:r w:rsidR="006D1B86">
        <w:rPr>
          <w:b/>
          <w:bCs/>
          <w:lang w:val="en-US"/>
        </w:rPr>
        <w:t>ing</w:t>
      </w:r>
      <w:r w:rsidRPr="004552AF">
        <w:rPr>
          <w:b/>
          <w:bCs/>
          <w:lang w:val="en-US"/>
        </w:rPr>
        <w:t xml:space="preserve"> </w:t>
      </w:r>
      <w:r w:rsidR="006D1B86">
        <w:rPr>
          <w:b/>
          <w:bCs/>
          <w:lang w:val="en-US"/>
        </w:rPr>
        <w:t>its</w:t>
      </w:r>
      <w:r w:rsidRPr="004552AF">
        <w:rPr>
          <w:b/>
          <w:bCs/>
          <w:lang w:val="en-US"/>
        </w:rPr>
        <w:t xml:space="preserve"> reservations and declarations made upon ratification of the Covenant</w:t>
      </w:r>
      <w:r w:rsidR="00E064F5">
        <w:rPr>
          <w:b/>
          <w:bCs/>
          <w:lang w:val="en-US"/>
        </w:rPr>
        <w:t>,</w:t>
      </w:r>
      <w:r w:rsidRPr="004552AF">
        <w:rPr>
          <w:b/>
          <w:bCs/>
          <w:lang w:val="en-US"/>
        </w:rPr>
        <w:t xml:space="preserve"> which are incompatible with the object and purpose of the Covenant. </w:t>
      </w:r>
    </w:p>
    <w:p w:rsidR="007A357A" w:rsidRPr="004552AF" w:rsidRDefault="002C5A49" w:rsidP="00EF27D8">
      <w:pPr>
        <w:pStyle w:val="SingleTxtG"/>
        <w:numPr>
          <w:ilvl w:val="0"/>
          <w:numId w:val="19"/>
        </w:numPr>
        <w:tabs>
          <w:tab w:val="clear" w:pos="1637"/>
        </w:tabs>
        <w:ind w:left="1134" w:firstLine="0"/>
      </w:pPr>
      <w:r w:rsidRPr="004552AF">
        <w:t xml:space="preserve">The </w:t>
      </w:r>
      <w:r w:rsidR="007A357A" w:rsidRPr="004552AF">
        <w:t>Committee regrets the absence of an independent national human rights institution in the State party (</w:t>
      </w:r>
      <w:r w:rsidR="00067C92">
        <w:t>art. </w:t>
      </w:r>
      <w:r w:rsidR="007A357A" w:rsidRPr="004552AF">
        <w:t>2</w:t>
      </w:r>
      <w:r w:rsidR="00E064F5">
        <w:t xml:space="preserve">, para. </w:t>
      </w:r>
      <w:r w:rsidR="007A357A" w:rsidRPr="004552AF">
        <w:t>1)</w:t>
      </w:r>
      <w:r w:rsidR="00727603">
        <w:t>.</w:t>
      </w:r>
    </w:p>
    <w:p w:rsidR="007A357A" w:rsidRPr="004552AF" w:rsidRDefault="007A357A" w:rsidP="007A357A">
      <w:pPr>
        <w:pStyle w:val="SingleTxtG"/>
        <w:tabs>
          <w:tab w:val="left" w:pos="1701"/>
        </w:tabs>
        <w:rPr>
          <w:b/>
          <w:bCs/>
        </w:rPr>
      </w:pPr>
      <w:r w:rsidRPr="004552AF">
        <w:rPr>
          <w:b/>
          <w:bCs/>
        </w:rPr>
        <w:t xml:space="preserve">The Committee recommends that the State party </w:t>
      </w:r>
      <w:r w:rsidR="001F36F8">
        <w:rPr>
          <w:b/>
          <w:bCs/>
        </w:rPr>
        <w:t xml:space="preserve">take steps </w:t>
      </w:r>
      <w:r w:rsidR="000951C8">
        <w:rPr>
          <w:b/>
          <w:bCs/>
        </w:rPr>
        <w:t>to</w:t>
      </w:r>
      <w:r w:rsidRPr="004552AF">
        <w:rPr>
          <w:b/>
          <w:bCs/>
        </w:rPr>
        <w:t xml:space="preserve"> establish an independent national human rights institution</w:t>
      </w:r>
      <w:r w:rsidR="000951C8">
        <w:rPr>
          <w:b/>
          <w:bCs/>
        </w:rPr>
        <w:t>, in accordance</w:t>
      </w:r>
      <w:r w:rsidRPr="004552AF">
        <w:rPr>
          <w:b/>
          <w:bCs/>
        </w:rPr>
        <w:t xml:space="preserve"> with the </w:t>
      </w:r>
      <w:smartTag w:uri="urn:schemas-microsoft-com:office:smarttags" w:element="place">
        <w:smartTag w:uri="urn:schemas-microsoft-com:office:smarttags" w:element="City">
          <w:r w:rsidRPr="004552AF">
            <w:rPr>
              <w:b/>
              <w:bCs/>
            </w:rPr>
            <w:t>Paris</w:t>
          </w:r>
        </w:smartTag>
      </w:smartTag>
      <w:r w:rsidRPr="004552AF">
        <w:rPr>
          <w:b/>
          <w:bCs/>
        </w:rPr>
        <w:t xml:space="preserve"> Principles, and ensure that it</w:t>
      </w:r>
      <w:r w:rsidR="001F36F8">
        <w:rPr>
          <w:b/>
          <w:bCs/>
        </w:rPr>
        <w:t>s</w:t>
      </w:r>
      <w:r w:rsidRPr="004552AF">
        <w:rPr>
          <w:b/>
          <w:bCs/>
        </w:rPr>
        <w:t xml:space="preserve"> mandate</w:t>
      </w:r>
      <w:r w:rsidR="001F36F8">
        <w:rPr>
          <w:b/>
          <w:bCs/>
        </w:rPr>
        <w:t xml:space="preserve"> includes</w:t>
      </w:r>
      <w:r w:rsidRPr="004552AF">
        <w:rPr>
          <w:b/>
          <w:bCs/>
        </w:rPr>
        <w:t xml:space="preserve"> economic, social and cultural rights. The Committee refers the State party to its general comment </w:t>
      </w:r>
      <w:r w:rsidR="00067C92">
        <w:rPr>
          <w:b/>
          <w:bCs/>
        </w:rPr>
        <w:t>No. </w:t>
      </w:r>
      <w:r w:rsidRPr="004552AF">
        <w:rPr>
          <w:b/>
          <w:bCs/>
        </w:rPr>
        <w:t xml:space="preserve">10 (1998) on the role of national human rights institutions in the protection of economic, social and cultural rights. </w:t>
      </w:r>
    </w:p>
    <w:p w:rsidR="007A357A" w:rsidRPr="004552AF" w:rsidRDefault="007A357A" w:rsidP="00727603">
      <w:pPr>
        <w:pStyle w:val="SingleTxtG"/>
        <w:numPr>
          <w:ilvl w:val="0"/>
          <w:numId w:val="19"/>
        </w:numPr>
        <w:tabs>
          <w:tab w:val="clear" w:pos="1637"/>
        </w:tabs>
        <w:ind w:left="1134" w:firstLine="0"/>
      </w:pPr>
      <w:r w:rsidRPr="004552AF">
        <w:t>The Committee notes with concern that constitutional guarantees of non-discrimination are limited to race, origin, language and religion. The Committee is also concerned at the lack of legislation prohibiting and sanction</w:t>
      </w:r>
      <w:r w:rsidR="000951C8">
        <w:t>ing</w:t>
      </w:r>
      <w:r w:rsidRPr="004552AF">
        <w:t xml:space="preserve"> discrimination on all grounds (</w:t>
      </w:r>
      <w:r w:rsidR="00067C92">
        <w:t>art. </w:t>
      </w:r>
      <w:r w:rsidRPr="004552AF">
        <w:t>2</w:t>
      </w:r>
      <w:r w:rsidR="000951C8">
        <w:t xml:space="preserve">, para. </w:t>
      </w:r>
      <w:r w:rsidRPr="004552AF">
        <w:t>2)</w:t>
      </w:r>
      <w:r w:rsidR="00727603">
        <w:t>.</w:t>
      </w:r>
    </w:p>
    <w:p w:rsidR="007A357A" w:rsidRPr="004552AF" w:rsidRDefault="00AA7BA2" w:rsidP="007A357A">
      <w:pPr>
        <w:pStyle w:val="SingleTxtG"/>
        <w:tabs>
          <w:tab w:val="left" w:pos="1701"/>
        </w:tabs>
        <w:rPr>
          <w:b/>
          <w:bCs/>
          <w:lang w:val="en-US"/>
        </w:rPr>
      </w:pPr>
      <w:r w:rsidRPr="004552AF">
        <w:rPr>
          <w:b/>
          <w:bCs/>
        </w:rPr>
        <w:t xml:space="preserve">The Committee </w:t>
      </w:r>
      <w:r w:rsidR="002C5A49" w:rsidRPr="004552AF">
        <w:rPr>
          <w:b/>
          <w:bCs/>
        </w:rPr>
        <w:t xml:space="preserve">recommends </w:t>
      </w:r>
      <w:r w:rsidR="0094523B" w:rsidRPr="004552AF">
        <w:rPr>
          <w:b/>
          <w:bCs/>
        </w:rPr>
        <w:t xml:space="preserve">that </w:t>
      </w:r>
      <w:r w:rsidR="002C5A49" w:rsidRPr="004552AF">
        <w:rPr>
          <w:b/>
          <w:bCs/>
        </w:rPr>
        <w:t>t</w:t>
      </w:r>
      <w:r w:rsidR="007A357A" w:rsidRPr="004552AF">
        <w:rPr>
          <w:b/>
          <w:bCs/>
        </w:rPr>
        <w:t xml:space="preserve">he State party adopt a </w:t>
      </w:r>
      <w:r w:rsidR="0039243A">
        <w:rPr>
          <w:b/>
          <w:bCs/>
        </w:rPr>
        <w:t>comprehensive anti-discrimination</w:t>
      </w:r>
      <w:r w:rsidR="0039243A" w:rsidRPr="004552AF">
        <w:rPr>
          <w:b/>
          <w:bCs/>
        </w:rPr>
        <w:t xml:space="preserve"> </w:t>
      </w:r>
      <w:r w:rsidR="007A357A" w:rsidRPr="004552AF">
        <w:rPr>
          <w:b/>
          <w:bCs/>
        </w:rPr>
        <w:t>law defining, prohibiting and sanction</w:t>
      </w:r>
      <w:r w:rsidR="000951C8">
        <w:rPr>
          <w:b/>
          <w:bCs/>
        </w:rPr>
        <w:t>ing</w:t>
      </w:r>
      <w:r w:rsidR="007A357A" w:rsidRPr="004552AF">
        <w:rPr>
          <w:b/>
          <w:bCs/>
        </w:rPr>
        <w:t xml:space="preserve"> discrimination on all grounds. The law should cover</w:t>
      </w:r>
      <w:r w:rsidR="001F36F8">
        <w:rPr>
          <w:b/>
          <w:bCs/>
        </w:rPr>
        <w:t xml:space="preserve"> not only direct but also</w:t>
      </w:r>
      <w:r w:rsidR="007A357A" w:rsidRPr="004552AF">
        <w:rPr>
          <w:b/>
          <w:bCs/>
        </w:rPr>
        <w:t xml:space="preserve"> indirect discrimination and provide for the implementation of </w:t>
      </w:r>
      <w:r w:rsidR="00CC37FE">
        <w:rPr>
          <w:b/>
          <w:bCs/>
        </w:rPr>
        <w:t xml:space="preserve">temporary </w:t>
      </w:r>
      <w:r w:rsidR="007A357A" w:rsidRPr="004552AF">
        <w:rPr>
          <w:b/>
          <w:bCs/>
        </w:rPr>
        <w:t>special measures. In this regard, the Committee draws the</w:t>
      </w:r>
      <w:r w:rsidR="000951C8">
        <w:rPr>
          <w:b/>
          <w:bCs/>
        </w:rPr>
        <w:t xml:space="preserve"> State party’s</w:t>
      </w:r>
      <w:r w:rsidR="007A357A" w:rsidRPr="004552AF">
        <w:rPr>
          <w:b/>
          <w:bCs/>
        </w:rPr>
        <w:t xml:space="preserve"> attention to its general comment </w:t>
      </w:r>
      <w:r w:rsidR="00067C92">
        <w:rPr>
          <w:b/>
          <w:bCs/>
          <w:lang w:val="en-US"/>
        </w:rPr>
        <w:t>No. </w:t>
      </w:r>
      <w:r w:rsidR="007A357A" w:rsidRPr="004552AF">
        <w:rPr>
          <w:b/>
          <w:bCs/>
          <w:lang w:val="en-US"/>
        </w:rPr>
        <w:t>20 (2009) on non-discrimination in economic, social and cultural rights.</w:t>
      </w:r>
    </w:p>
    <w:p w:rsidR="007A357A" w:rsidRPr="004552AF" w:rsidRDefault="007A357A" w:rsidP="00727603">
      <w:pPr>
        <w:pStyle w:val="SingleTxtG"/>
        <w:numPr>
          <w:ilvl w:val="0"/>
          <w:numId w:val="19"/>
        </w:numPr>
        <w:tabs>
          <w:tab w:val="clear" w:pos="1637"/>
        </w:tabs>
        <w:ind w:left="1134" w:firstLine="0"/>
        <w:rPr>
          <w:lang w:val="en-US"/>
        </w:rPr>
      </w:pPr>
      <w:r w:rsidRPr="004552AF">
        <w:rPr>
          <w:lang w:val="en-US"/>
        </w:rPr>
        <w:t xml:space="preserve">The Committee is concerned that the categorization of </w:t>
      </w:r>
      <w:proofErr w:type="spellStart"/>
      <w:r w:rsidRPr="004552AF">
        <w:rPr>
          <w:lang w:val="en-US"/>
        </w:rPr>
        <w:t>Bidouns</w:t>
      </w:r>
      <w:proofErr w:type="spellEnd"/>
      <w:r w:rsidRPr="004552AF">
        <w:rPr>
          <w:lang w:val="en-US"/>
        </w:rPr>
        <w:t xml:space="preserve"> as </w:t>
      </w:r>
      <w:r w:rsidR="005457F0">
        <w:rPr>
          <w:lang w:val="en-US"/>
        </w:rPr>
        <w:t>“</w:t>
      </w:r>
      <w:r w:rsidRPr="004552AF">
        <w:rPr>
          <w:lang w:val="en-US"/>
        </w:rPr>
        <w:t>illegal residents</w:t>
      </w:r>
      <w:r w:rsidR="005457F0">
        <w:rPr>
          <w:lang w:val="en-US"/>
        </w:rPr>
        <w:t>”</w:t>
      </w:r>
      <w:r w:rsidRPr="004552AF">
        <w:rPr>
          <w:lang w:val="en-US"/>
        </w:rPr>
        <w:t xml:space="preserve"> reflects neither their status </w:t>
      </w:r>
      <w:r w:rsidR="005457F0">
        <w:rPr>
          <w:lang w:val="en-US"/>
        </w:rPr>
        <w:t>as</w:t>
      </w:r>
      <w:r w:rsidRPr="004552AF">
        <w:rPr>
          <w:lang w:val="en-US"/>
        </w:rPr>
        <w:t xml:space="preserve"> stateless persons nor their </w:t>
      </w:r>
      <w:r w:rsidR="00A50E7C" w:rsidRPr="004552AF">
        <w:rPr>
          <w:lang w:val="en-US"/>
        </w:rPr>
        <w:t>historical sense of belonging to Kuwaiti society.</w:t>
      </w:r>
      <w:r w:rsidRPr="004552AF">
        <w:rPr>
          <w:lang w:val="en-US"/>
        </w:rPr>
        <w:t xml:space="preserve"> The Committee is also concerned at the slow pace of progress made </w:t>
      </w:r>
      <w:r w:rsidR="005457F0">
        <w:rPr>
          <w:lang w:val="en-US"/>
        </w:rPr>
        <w:t>towards</w:t>
      </w:r>
      <w:r w:rsidRPr="004552AF">
        <w:rPr>
          <w:lang w:val="en-US"/>
        </w:rPr>
        <w:t xml:space="preserve"> finding a permanent solution </w:t>
      </w:r>
      <w:r w:rsidR="005457F0">
        <w:rPr>
          <w:lang w:val="en-US"/>
        </w:rPr>
        <w:t>to</w:t>
      </w:r>
      <w:r w:rsidR="0039243A">
        <w:rPr>
          <w:lang w:val="en-US"/>
        </w:rPr>
        <w:t xml:space="preserve"> their legal status</w:t>
      </w:r>
      <w:r w:rsidRPr="004552AF">
        <w:rPr>
          <w:lang w:val="en-US"/>
        </w:rPr>
        <w:t xml:space="preserve"> by 2015, as the majority of this population is still denied </w:t>
      </w:r>
      <w:r w:rsidR="00FA080F" w:rsidRPr="004552AF">
        <w:rPr>
          <w:lang w:val="en-US"/>
        </w:rPr>
        <w:t xml:space="preserve">most </w:t>
      </w:r>
      <w:r w:rsidRPr="004552AF">
        <w:rPr>
          <w:lang w:val="en-US"/>
        </w:rPr>
        <w:t xml:space="preserve">of </w:t>
      </w:r>
      <w:r w:rsidR="00FA080F" w:rsidRPr="004552AF">
        <w:rPr>
          <w:lang w:val="en-US"/>
        </w:rPr>
        <w:t xml:space="preserve">their </w:t>
      </w:r>
      <w:r w:rsidRPr="004552AF">
        <w:rPr>
          <w:lang w:val="en-US"/>
        </w:rPr>
        <w:t>economic, social and cultural rights, in spite of the recommendations made by the Committee and other treaty bodies (</w:t>
      </w:r>
      <w:r w:rsidR="00067C92">
        <w:rPr>
          <w:lang w:val="en-US"/>
        </w:rPr>
        <w:t>art. </w:t>
      </w:r>
      <w:r w:rsidRPr="004552AF">
        <w:rPr>
          <w:lang w:val="en-US"/>
        </w:rPr>
        <w:t>2</w:t>
      </w:r>
      <w:r w:rsidR="005457F0">
        <w:rPr>
          <w:lang w:val="en-US"/>
        </w:rPr>
        <w:t xml:space="preserve">, para. </w:t>
      </w:r>
      <w:r w:rsidRPr="004552AF">
        <w:rPr>
          <w:lang w:val="en-US"/>
        </w:rPr>
        <w:t>2)</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 xml:space="preserve">The Committee </w:t>
      </w:r>
      <w:r w:rsidR="00DF433E" w:rsidRPr="004552AF">
        <w:rPr>
          <w:b/>
          <w:bCs/>
          <w:lang w:val="en-US"/>
        </w:rPr>
        <w:t xml:space="preserve">recommends </w:t>
      </w:r>
      <w:r w:rsidR="00353ED6" w:rsidRPr="004552AF">
        <w:rPr>
          <w:b/>
          <w:bCs/>
          <w:lang w:val="en-US"/>
        </w:rPr>
        <w:t xml:space="preserve">that </w:t>
      </w:r>
      <w:r w:rsidRPr="004552AF">
        <w:rPr>
          <w:b/>
          <w:bCs/>
          <w:lang w:val="en-US"/>
        </w:rPr>
        <w:t>the State party</w:t>
      </w:r>
      <w:r w:rsidR="00DF433E" w:rsidRPr="004552AF">
        <w:rPr>
          <w:b/>
          <w:bCs/>
          <w:lang w:val="en-US"/>
        </w:rPr>
        <w:t xml:space="preserve"> expedite </w:t>
      </w:r>
      <w:r w:rsidR="00057F81" w:rsidRPr="004552AF">
        <w:rPr>
          <w:b/>
          <w:bCs/>
          <w:lang w:val="en-US"/>
        </w:rPr>
        <w:t xml:space="preserve">the work entrusted in 2010 to the Central </w:t>
      </w:r>
      <w:r w:rsidR="001F36F8">
        <w:rPr>
          <w:b/>
          <w:bCs/>
          <w:lang w:val="en-US"/>
        </w:rPr>
        <w:t>Body</w:t>
      </w:r>
      <w:r w:rsidR="001F36F8" w:rsidRPr="004552AF">
        <w:rPr>
          <w:b/>
          <w:bCs/>
          <w:lang w:val="en-US"/>
        </w:rPr>
        <w:t xml:space="preserve"> </w:t>
      </w:r>
      <w:r w:rsidR="00FA080F" w:rsidRPr="004552AF">
        <w:rPr>
          <w:b/>
          <w:bCs/>
          <w:lang w:val="en-US"/>
        </w:rPr>
        <w:t xml:space="preserve">to review </w:t>
      </w:r>
      <w:proofErr w:type="spellStart"/>
      <w:r w:rsidR="003D32FD" w:rsidRPr="004552AF">
        <w:rPr>
          <w:b/>
          <w:bCs/>
          <w:lang w:val="en-US"/>
        </w:rPr>
        <w:t>B</w:t>
      </w:r>
      <w:r w:rsidR="00FA080F" w:rsidRPr="004552AF">
        <w:rPr>
          <w:b/>
          <w:bCs/>
          <w:lang w:val="en-US"/>
        </w:rPr>
        <w:t>idou</w:t>
      </w:r>
      <w:r w:rsidR="00057F81" w:rsidRPr="004552AF">
        <w:rPr>
          <w:b/>
          <w:bCs/>
          <w:lang w:val="en-US"/>
        </w:rPr>
        <w:t>n</w:t>
      </w:r>
      <w:proofErr w:type="spellEnd"/>
      <w:r w:rsidR="00057F81" w:rsidRPr="004552AF">
        <w:rPr>
          <w:b/>
          <w:bCs/>
          <w:lang w:val="en-US"/>
        </w:rPr>
        <w:t xml:space="preserve"> claims </w:t>
      </w:r>
      <w:r w:rsidR="00107B10">
        <w:rPr>
          <w:b/>
          <w:bCs/>
          <w:lang w:val="en-US"/>
        </w:rPr>
        <w:t xml:space="preserve">for </w:t>
      </w:r>
      <w:r w:rsidR="00077CC7">
        <w:rPr>
          <w:b/>
          <w:bCs/>
          <w:lang w:val="en-US"/>
        </w:rPr>
        <w:t>recognition</w:t>
      </w:r>
      <w:r w:rsidR="00107B10">
        <w:rPr>
          <w:b/>
          <w:bCs/>
          <w:lang w:val="en-US"/>
        </w:rPr>
        <w:t xml:space="preserve"> of their status under the </w:t>
      </w:r>
      <w:r w:rsidR="00177950">
        <w:rPr>
          <w:b/>
          <w:bCs/>
          <w:lang w:val="en-US"/>
        </w:rPr>
        <w:t>L</w:t>
      </w:r>
      <w:r w:rsidR="00107B10">
        <w:rPr>
          <w:b/>
          <w:bCs/>
          <w:lang w:val="en-US"/>
        </w:rPr>
        <w:t xml:space="preserve">aw on </w:t>
      </w:r>
      <w:r w:rsidR="00177950">
        <w:rPr>
          <w:b/>
          <w:bCs/>
          <w:lang w:val="en-US"/>
        </w:rPr>
        <w:t>C</w:t>
      </w:r>
      <w:r w:rsidR="00107B10">
        <w:rPr>
          <w:b/>
          <w:bCs/>
          <w:lang w:val="en-US"/>
        </w:rPr>
        <w:t>itizenship</w:t>
      </w:r>
      <w:r w:rsidR="00177950">
        <w:rPr>
          <w:b/>
          <w:bCs/>
          <w:lang w:val="en-US"/>
        </w:rPr>
        <w:t>,</w:t>
      </w:r>
      <w:r w:rsidR="00107B10">
        <w:rPr>
          <w:b/>
          <w:bCs/>
          <w:lang w:val="en-US"/>
        </w:rPr>
        <w:t xml:space="preserve"> </w:t>
      </w:r>
      <w:r w:rsidR="00057F81" w:rsidRPr="004552AF">
        <w:rPr>
          <w:b/>
          <w:bCs/>
          <w:lang w:val="en-US"/>
        </w:rPr>
        <w:t xml:space="preserve">and find a permanent solution </w:t>
      </w:r>
      <w:r w:rsidR="00177950">
        <w:rPr>
          <w:b/>
          <w:bCs/>
          <w:lang w:val="en-US"/>
        </w:rPr>
        <w:t xml:space="preserve">to their status by 2015, </w:t>
      </w:r>
      <w:r w:rsidR="00AE49BA" w:rsidRPr="00AE49BA">
        <w:rPr>
          <w:b/>
          <w:bCs/>
          <w:lang w:val="en-US"/>
        </w:rPr>
        <w:t>in conformity with international law</w:t>
      </w:r>
      <w:r w:rsidRPr="00AE49BA">
        <w:rPr>
          <w:b/>
          <w:bCs/>
          <w:lang w:val="en-US"/>
        </w:rPr>
        <w:t>.</w:t>
      </w:r>
      <w:r w:rsidRPr="004552AF">
        <w:rPr>
          <w:b/>
          <w:bCs/>
          <w:lang w:val="en-US"/>
        </w:rPr>
        <w:t xml:space="preserve"> </w:t>
      </w:r>
      <w:r w:rsidR="00A83E6F">
        <w:rPr>
          <w:b/>
          <w:bCs/>
          <w:lang w:val="en-US"/>
        </w:rPr>
        <w:t>The Committee</w:t>
      </w:r>
      <w:r w:rsidR="00A83E6F" w:rsidRPr="004552AF">
        <w:rPr>
          <w:b/>
          <w:bCs/>
          <w:lang w:val="en-US"/>
        </w:rPr>
        <w:t xml:space="preserve"> </w:t>
      </w:r>
      <w:r w:rsidRPr="004552AF">
        <w:rPr>
          <w:b/>
          <w:bCs/>
          <w:lang w:val="en-US"/>
        </w:rPr>
        <w:t xml:space="preserve">also </w:t>
      </w:r>
      <w:r w:rsidR="00C4363D" w:rsidRPr="004552AF">
        <w:rPr>
          <w:b/>
          <w:bCs/>
          <w:lang w:val="en-US"/>
        </w:rPr>
        <w:t>recommends</w:t>
      </w:r>
      <w:r w:rsidR="007842E9" w:rsidRPr="004552AF">
        <w:rPr>
          <w:b/>
          <w:bCs/>
          <w:lang w:val="en-US"/>
        </w:rPr>
        <w:t xml:space="preserve"> that</w:t>
      </w:r>
      <w:r w:rsidR="00C4363D" w:rsidRPr="004552AF">
        <w:rPr>
          <w:b/>
          <w:bCs/>
          <w:lang w:val="en-US"/>
        </w:rPr>
        <w:t xml:space="preserve"> the </w:t>
      </w:r>
      <w:r w:rsidRPr="004552AF">
        <w:rPr>
          <w:b/>
          <w:bCs/>
          <w:lang w:val="en-US"/>
        </w:rPr>
        <w:t xml:space="preserve">State party: </w:t>
      </w:r>
    </w:p>
    <w:p w:rsidR="00A15AD0" w:rsidRPr="004552AF" w:rsidRDefault="00211094" w:rsidP="00177950">
      <w:pPr>
        <w:pStyle w:val="SingleTxtG"/>
        <w:numPr>
          <w:ilvl w:val="0"/>
          <w:numId w:val="25"/>
        </w:numPr>
        <w:tabs>
          <w:tab w:val="left" w:pos="-1701"/>
        </w:tabs>
        <w:ind w:left="1134" w:firstLine="567"/>
        <w:rPr>
          <w:b/>
          <w:bCs/>
          <w:lang w:val="en-US"/>
        </w:rPr>
      </w:pPr>
      <w:r w:rsidRPr="0098029D">
        <w:rPr>
          <w:b/>
          <w:bCs/>
          <w:lang w:val="en-US"/>
        </w:rPr>
        <w:t>I</w:t>
      </w:r>
      <w:r w:rsidR="00A15AD0" w:rsidRPr="0098029D">
        <w:rPr>
          <w:b/>
          <w:bCs/>
          <w:lang w:val="en-US"/>
        </w:rPr>
        <w:t>nvolve legal</w:t>
      </w:r>
      <w:r w:rsidR="00A15AD0" w:rsidRPr="004552AF">
        <w:rPr>
          <w:b/>
          <w:bCs/>
          <w:lang w:val="en-US"/>
        </w:rPr>
        <w:t xml:space="preserve"> experts or judges in the </w:t>
      </w:r>
      <w:r w:rsidR="007842E9" w:rsidRPr="004552AF">
        <w:rPr>
          <w:b/>
          <w:bCs/>
          <w:lang w:val="en-US"/>
        </w:rPr>
        <w:t xml:space="preserve">citizenship </w:t>
      </w:r>
      <w:r w:rsidR="00A15AD0" w:rsidRPr="004552AF">
        <w:rPr>
          <w:b/>
          <w:bCs/>
          <w:lang w:val="en-US"/>
        </w:rPr>
        <w:t>review process to ensure that decisions are taken according to the relevant</w:t>
      </w:r>
      <w:r w:rsidR="00166B89">
        <w:rPr>
          <w:b/>
          <w:bCs/>
          <w:lang w:val="en-US"/>
        </w:rPr>
        <w:t xml:space="preserve"> </w:t>
      </w:r>
      <w:r w:rsidR="00857188">
        <w:rPr>
          <w:b/>
          <w:bCs/>
          <w:lang w:val="en-US"/>
        </w:rPr>
        <w:t>laws and</w:t>
      </w:r>
      <w:r w:rsidR="00A15AD0" w:rsidRPr="004552AF">
        <w:rPr>
          <w:b/>
          <w:bCs/>
          <w:lang w:val="en-US"/>
        </w:rPr>
        <w:t xml:space="preserve"> </w:t>
      </w:r>
      <w:r w:rsidR="00107B10">
        <w:rPr>
          <w:b/>
          <w:bCs/>
          <w:lang w:val="en-US"/>
        </w:rPr>
        <w:t>standards</w:t>
      </w:r>
      <w:r w:rsidR="00A15AD0" w:rsidRPr="004552AF">
        <w:rPr>
          <w:b/>
          <w:bCs/>
          <w:lang w:val="en-US"/>
        </w:rPr>
        <w:t>, and to guarantee the right of individuals to be informed of the grounds of decisions taken</w:t>
      </w:r>
      <w:r w:rsidR="00107B10">
        <w:rPr>
          <w:b/>
          <w:bCs/>
          <w:lang w:val="en-US"/>
        </w:rPr>
        <w:t xml:space="preserve"> and the right to appeal</w:t>
      </w:r>
      <w:r w:rsidR="000B4E5B" w:rsidRPr="004552AF">
        <w:rPr>
          <w:b/>
          <w:bCs/>
          <w:lang w:val="en-US"/>
        </w:rPr>
        <w:t>;</w:t>
      </w:r>
      <w:r w:rsidR="00A15AD0" w:rsidRPr="004552AF">
        <w:rPr>
          <w:b/>
          <w:bCs/>
          <w:lang w:val="en-US"/>
        </w:rPr>
        <w:t xml:space="preserve"> </w:t>
      </w:r>
    </w:p>
    <w:p w:rsidR="00077CC7" w:rsidRPr="004552AF" w:rsidRDefault="00211094" w:rsidP="00406C30">
      <w:pPr>
        <w:pStyle w:val="SingleTxtG"/>
        <w:numPr>
          <w:ilvl w:val="0"/>
          <w:numId w:val="25"/>
        </w:numPr>
        <w:tabs>
          <w:tab w:val="left" w:pos="-1701"/>
        </w:tabs>
        <w:ind w:left="1134" w:firstLine="567"/>
        <w:rPr>
          <w:b/>
          <w:bCs/>
          <w:lang w:val="en-US"/>
        </w:rPr>
      </w:pPr>
      <w:r>
        <w:rPr>
          <w:b/>
          <w:bCs/>
          <w:lang w:val="en-US"/>
        </w:rPr>
        <w:t>A</w:t>
      </w:r>
      <w:r w:rsidR="00077CC7" w:rsidRPr="004552AF">
        <w:rPr>
          <w:b/>
          <w:bCs/>
          <w:lang w:val="en-US"/>
        </w:rPr>
        <w:t xml:space="preserve">ccelerate the naturalization process for those who meet </w:t>
      </w:r>
      <w:r w:rsidR="00077CC7">
        <w:rPr>
          <w:b/>
          <w:bCs/>
          <w:lang w:val="en-US"/>
        </w:rPr>
        <w:t xml:space="preserve">the </w:t>
      </w:r>
      <w:r w:rsidR="00077CC7" w:rsidRPr="004552AF">
        <w:rPr>
          <w:b/>
          <w:bCs/>
          <w:lang w:val="en-US"/>
        </w:rPr>
        <w:t>legal requi</w:t>
      </w:r>
      <w:r w:rsidR="00077CC7">
        <w:rPr>
          <w:b/>
          <w:bCs/>
          <w:lang w:val="en-US"/>
        </w:rPr>
        <w:t>rement</w:t>
      </w:r>
      <w:r w:rsidR="00077CC7" w:rsidRPr="004552AF">
        <w:rPr>
          <w:b/>
          <w:bCs/>
          <w:lang w:val="en-US"/>
        </w:rPr>
        <w:t xml:space="preserve">s; </w:t>
      </w:r>
    </w:p>
    <w:p w:rsidR="00077CC7" w:rsidRDefault="00211094" w:rsidP="00406C30">
      <w:pPr>
        <w:pStyle w:val="SingleTxtG"/>
        <w:numPr>
          <w:ilvl w:val="0"/>
          <w:numId w:val="25"/>
        </w:numPr>
        <w:tabs>
          <w:tab w:val="left" w:pos="-1701"/>
        </w:tabs>
        <w:ind w:left="1134" w:firstLine="567"/>
        <w:rPr>
          <w:b/>
          <w:bCs/>
          <w:lang w:val="en-US"/>
        </w:rPr>
      </w:pPr>
      <w:r>
        <w:rPr>
          <w:b/>
          <w:bCs/>
          <w:lang w:val="en-US"/>
        </w:rPr>
        <w:t>E</w:t>
      </w:r>
      <w:r w:rsidR="00077CC7" w:rsidRPr="004552AF">
        <w:rPr>
          <w:b/>
          <w:bCs/>
          <w:lang w:val="en-US"/>
        </w:rPr>
        <w:t xml:space="preserve">nsure birth registration of children of stateless women, including those who are not registered with the Central Body, irrespective of the nationality of the father; </w:t>
      </w:r>
    </w:p>
    <w:p w:rsidR="007A357A" w:rsidRPr="004552AF" w:rsidRDefault="00211094" w:rsidP="00406C30">
      <w:pPr>
        <w:pStyle w:val="SingleTxtG"/>
        <w:numPr>
          <w:ilvl w:val="0"/>
          <w:numId w:val="25"/>
        </w:numPr>
        <w:tabs>
          <w:tab w:val="left" w:pos="-1701"/>
        </w:tabs>
        <w:ind w:left="1134" w:firstLine="567"/>
        <w:rPr>
          <w:b/>
          <w:bCs/>
          <w:lang w:val="en-US"/>
        </w:rPr>
      </w:pPr>
      <w:r>
        <w:rPr>
          <w:b/>
          <w:bCs/>
          <w:lang w:val="en-US"/>
        </w:rPr>
        <w:t>E</w:t>
      </w:r>
      <w:r w:rsidR="00C4363D" w:rsidRPr="004552AF">
        <w:rPr>
          <w:b/>
          <w:bCs/>
          <w:lang w:val="en-US"/>
        </w:rPr>
        <w:t>xpedite</w:t>
      </w:r>
      <w:r w:rsidR="007842E9" w:rsidRPr="004552AF">
        <w:rPr>
          <w:b/>
          <w:bCs/>
          <w:lang w:val="en-US"/>
        </w:rPr>
        <w:t xml:space="preserve"> </w:t>
      </w:r>
      <w:r w:rsidR="007A357A" w:rsidRPr="004552AF">
        <w:rPr>
          <w:b/>
          <w:bCs/>
          <w:lang w:val="en-US"/>
        </w:rPr>
        <w:t xml:space="preserve">adoption by the National Assembly of the decision endorsed by the Central Body granting </w:t>
      </w:r>
      <w:proofErr w:type="spellStart"/>
      <w:r w:rsidR="001F36F8">
        <w:rPr>
          <w:b/>
          <w:bCs/>
          <w:lang w:val="en-US"/>
        </w:rPr>
        <w:t>Bidouns</w:t>
      </w:r>
      <w:proofErr w:type="spellEnd"/>
      <w:r w:rsidR="001F36F8" w:rsidRPr="004552AF">
        <w:rPr>
          <w:b/>
          <w:bCs/>
          <w:lang w:val="en-US"/>
        </w:rPr>
        <w:t xml:space="preserve"> </w:t>
      </w:r>
      <w:r w:rsidR="007A357A" w:rsidRPr="004552AF">
        <w:rPr>
          <w:b/>
          <w:bCs/>
          <w:lang w:val="en-US"/>
        </w:rPr>
        <w:t>a</w:t>
      </w:r>
      <w:r w:rsidR="00107B10">
        <w:rPr>
          <w:b/>
          <w:bCs/>
          <w:lang w:val="en-US"/>
        </w:rPr>
        <w:t>ccess to</w:t>
      </w:r>
      <w:r w:rsidR="007A357A" w:rsidRPr="004552AF">
        <w:rPr>
          <w:b/>
          <w:bCs/>
          <w:lang w:val="en-US"/>
        </w:rPr>
        <w:t xml:space="preserve"> socio-economic rights</w:t>
      </w:r>
      <w:r w:rsidR="00CB1D4F">
        <w:rPr>
          <w:b/>
          <w:bCs/>
          <w:lang w:val="en-US"/>
        </w:rPr>
        <w:t>,</w:t>
      </w:r>
      <w:r w:rsidR="007A357A" w:rsidRPr="004552AF">
        <w:rPr>
          <w:b/>
          <w:bCs/>
          <w:lang w:val="en-US"/>
        </w:rPr>
        <w:t xml:space="preserve"> and address the administrative obstacles to their effective access to services;</w:t>
      </w:r>
      <w:r w:rsidR="00077CC7">
        <w:rPr>
          <w:b/>
          <w:bCs/>
          <w:lang w:val="en-US"/>
        </w:rPr>
        <w:t xml:space="preserve"> </w:t>
      </w:r>
      <w:r w:rsidR="008B406F" w:rsidRPr="004552AF">
        <w:rPr>
          <w:b/>
          <w:bCs/>
          <w:lang w:val="en-US"/>
        </w:rPr>
        <w:t>and</w:t>
      </w:r>
    </w:p>
    <w:p w:rsidR="007A357A" w:rsidRPr="004552AF" w:rsidRDefault="00211094" w:rsidP="00406C30">
      <w:pPr>
        <w:pStyle w:val="SingleTxtG"/>
        <w:numPr>
          <w:ilvl w:val="0"/>
          <w:numId w:val="25"/>
        </w:numPr>
        <w:tabs>
          <w:tab w:val="left" w:pos="-1701"/>
        </w:tabs>
        <w:ind w:left="1134" w:firstLine="567"/>
        <w:rPr>
          <w:b/>
          <w:bCs/>
          <w:lang w:val="en-US"/>
        </w:rPr>
      </w:pPr>
      <w:r w:rsidRPr="004552AF">
        <w:rPr>
          <w:b/>
          <w:bCs/>
          <w:lang w:val="en-US"/>
        </w:rPr>
        <w:t>Accede</w:t>
      </w:r>
      <w:r w:rsidR="007A357A" w:rsidRPr="004552AF">
        <w:rPr>
          <w:b/>
          <w:bCs/>
          <w:lang w:val="en-US"/>
        </w:rPr>
        <w:t xml:space="preserve"> to the 1954 </w:t>
      </w:r>
      <w:r w:rsidR="00EE3678" w:rsidRPr="004552AF">
        <w:rPr>
          <w:b/>
          <w:bCs/>
          <w:lang w:val="en-US"/>
        </w:rPr>
        <w:t xml:space="preserve">Convention relating to the Status of Stateless Persons </w:t>
      </w:r>
      <w:r w:rsidR="007A357A" w:rsidRPr="004552AF">
        <w:rPr>
          <w:b/>
          <w:bCs/>
          <w:lang w:val="en-US"/>
        </w:rPr>
        <w:t>and</w:t>
      </w:r>
      <w:r w:rsidR="00EE3678" w:rsidRPr="004552AF">
        <w:rPr>
          <w:b/>
          <w:bCs/>
          <w:lang w:val="en-US"/>
        </w:rPr>
        <w:t xml:space="preserve"> the 1961 Convention on the Reduction of Statelessness.</w:t>
      </w:r>
    </w:p>
    <w:p w:rsidR="007A357A" w:rsidRPr="004552AF" w:rsidRDefault="007A357A" w:rsidP="00EF27D8">
      <w:pPr>
        <w:pStyle w:val="SingleTxtG"/>
        <w:numPr>
          <w:ilvl w:val="0"/>
          <w:numId w:val="19"/>
        </w:numPr>
        <w:tabs>
          <w:tab w:val="clear" w:pos="1637"/>
        </w:tabs>
        <w:ind w:left="1134" w:firstLine="0"/>
      </w:pPr>
      <w:r w:rsidRPr="004552AF">
        <w:rPr>
          <w:lang w:val="en-US"/>
        </w:rPr>
        <w:t>The Committee is concerned that, in spite of the recommendations made by the Committee and other treaty bodies, discrimination against women under the various laws in force in the State party</w:t>
      </w:r>
      <w:r w:rsidR="00CB1D4F">
        <w:rPr>
          <w:lang w:val="en-US"/>
        </w:rPr>
        <w:t xml:space="preserve"> —</w:t>
      </w:r>
      <w:r w:rsidRPr="004552AF">
        <w:rPr>
          <w:lang w:val="en-US"/>
        </w:rPr>
        <w:t xml:space="preserve"> such as those on nationality, marriage, inheritance, polygamy, parental authority or insurance rights</w:t>
      </w:r>
      <w:r w:rsidR="00CB1D4F">
        <w:rPr>
          <w:lang w:val="en-US"/>
        </w:rPr>
        <w:t xml:space="preserve"> — still exist and</w:t>
      </w:r>
      <w:r w:rsidRPr="004552AF">
        <w:rPr>
          <w:lang w:val="en-US"/>
        </w:rPr>
        <w:t xml:space="preserve"> </w:t>
      </w:r>
      <w:r w:rsidR="008B406F" w:rsidRPr="004552AF">
        <w:rPr>
          <w:lang w:val="en-US"/>
        </w:rPr>
        <w:t>hamper</w:t>
      </w:r>
      <w:r w:rsidR="005D76DA" w:rsidRPr="004552AF">
        <w:rPr>
          <w:lang w:val="en-US"/>
        </w:rPr>
        <w:t xml:space="preserve"> </w:t>
      </w:r>
      <w:r w:rsidRPr="004552AF">
        <w:rPr>
          <w:lang w:val="en-US"/>
        </w:rPr>
        <w:t xml:space="preserve">women’s equal enjoyment of economic, social and cultural rights. The Committee also notes with concern that the omission of </w:t>
      </w:r>
      <w:r w:rsidR="00CB1D4F">
        <w:rPr>
          <w:lang w:val="en-US"/>
        </w:rPr>
        <w:t>the ground of “</w:t>
      </w:r>
      <w:r w:rsidRPr="004552AF">
        <w:rPr>
          <w:lang w:val="en-US"/>
        </w:rPr>
        <w:t>sex</w:t>
      </w:r>
      <w:r w:rsidR="00CB1D4F">
        <w:rPr>
          <w:lang w:val="en-US"/>
        </w:rPr>
        <w:t>”</w:t>
      </w:r>
      <w:r w:rsidRPr="004552AF">
        <w:rPr>
          <w:lang w:val="en-US"/>
        </w:rPr>
        <w:t xml:space="preserve"> among the grounds of non-discrimination in the provisions of article</w:t>
      </w:r>
      <w:r w:rsidR="005A176B">
        <w:rPr>
          <w:lang w:val="en-US"/>
        </w:rPr>
        <w:t> </w:t>
      </w:r>
      <w:r w:rsidRPr="004552AF">
        <w:rPr>
          <w:lang w:val="en-US"/>
        </w:rPr>
        <w:t xml:space="preserve">29 of the </w:t>
      </w:r>
      <w:r w:rsidR="00CB1D4F">
        <w:rPr>
          <w:lang w:val="en-US"/>
        </w:rPr>
        <w:t xml:space="preserve">Constitution of the </w:t>
      </w:r>
      <w:r w:rsidRPr="004552AF">
        <w:rPr>
          <w:lang w:val="en-US"/>
        </w:rPr>
        <w:t xml:space="preserve">State party deprives </w:t>
      </w:r>
      <w:r w:rsidR="00000D90" w:rsidRPr="004552AF">
        <w:rPr>
          <w:lang w:val="en-US"/>
        </w:rPr>
        <w:t>women</w:t>
      </w:r>
      <w:r w:rsidR="008B406F" w:rsidRPr="004552AF">
        <w:rPr>
          <w:lang w:val="en-US"/>
        </w:rPr>
        <w:t xml:space="preserve"> </w:t>
      </w:r>
      <w:r w:rsidRPr="004552AF">
        <w:rPr>
          <w:lang w:val="en-US"/>
        </w:rPr>
        <w:t xml:space="preserve">of a </w:t>
      </w:r>
      <w:r w:rsidR="008B406F" w:rsidRPr="004552AF">
        <w:rPr>
          <w:lang w:val="en-US"/>
        </w:rPr>
        <w:t xml:space="preserve">crucial </w:t>
      </w:r>
      <w:r w:rsidR="00373347">
        <w:rPr>
          <w:lang w:val="en-US"/>
        </w:rPr>
        <w:t xml:space="preserve">legal </w:t>
      </w:r>
      <w:r w:rsidR="00E343EA">
        <w:rPr>
          <w:lang w:val="en-US"/>
        </w:rPr>
        <w:t>protection against</w:t>
      </w:r>
      <w:r w:rsidR="008B406F" w:rsidRPr="004552AF">
        <w:rPr>
          <w:lang w:val="en-US"/>
        </w:rPr>
        <w:t xml:space="preserve"> gender</w:t>
      </w:r>
      <w:r w:rsidR="00373347">
        <w:rPr>
          <w:lang w:val="en-US"/>
        </w:rPr>
        <w:t>-based</w:t>
      </w:r>
      <w:r w:rsidR="008B406F" w:rsidRPr="004552AF">
        <w:rPr>
          <w:lang w:val="en-US"/>
        </w:rPr>
        <w:t xml:space="preserve"> </w:t>
      </w:r>
      <w:r w:rsidR="00000D90" w:rsidRPr="004552AF">
        <w:rPr>
          <w:lang w:val="en-US"/>
        </w:rPr>
        <w:t>discrimination</w:t>
      </w:r>
      <w:r w:rsidRPr="004552AF">
        <w:t xml:space="preserve"> (</w:t>
      </w:r>
      <w:r w:rsidR="00067C92">
        <w:t>art. </w:t>
      </w:r>
      <w:r w:rsidRPr="004552AF">
        <w:t>3)</w:t>
      </w:r>
      <w:r w:rsidR="00727603">
        <w:t>.</w:t>
      </w:r>
    </w:p>
    <w:p w:rsidR="007A357A" w:rsidRPr="004552AF" w:rsidRDefault="007A357A" w:rsidP="007A357A">
      <w:pPr>
        <w:pStyle w:val="SingleTxtG"/>
        <w:tabs>
          <w:tab w:val="left" w:pos="1701"/>
        </w:tabs>
        <w:rPr>
          <w:b/>
          <w:bCs/>
          <w:lang w:val="en-US"/>
        </w:rPr>
      </w:pPr>
      <w:r w:rsidRPr="004552AF">
        <w:rPr>
          <w:b/>
          <w:bCs/>
        </w:rPr>
        <w:t xml:space="preserve">The Committee calls on the State party to enshrine equal rights </w:t>
      </w:r>
      <w:r w:rsidR="00CB1D4F">
        <w:rPr>
          <w:b/>
          <w:bCs/>
        </w:rPr>
        <w:t>for</w:t>
      </w:r>
      <w:r w:rsidRPr="004552AF">
        <w:rPr>
          <w:b/>
          <w:bCs/>
        </w:rPr>
        <w:t xml:space="preserve"> men and women</w:t>
      </w:r>
      <w:r w:rsidR="00CB1D4F">
        <w:rPr>
          <w:b/>
          <w:bCs/>
        </w:rPr>
        <w:t xml:space="preserve"> </w:t>
      </w:r>
      <w:r w:rsidR="00CB1D4F" w:rsidRPr="004552AF">
        <w:rPr>
          <w:b/>
          <w:bCs/>
        </w:rPr>
        <w:t>in its Constitution</w:t>
      </w:r>
      <w:r w:rsidRPr="004552AF">
        <w:rPr>
          <w:b/>
          <w:bCs/>
        </w:rPr>
        <w:t>.</w:t>
      </w:r>
      <w:r w:rsidRPr="004552AF">
        <w:rPr>
          <w:b/>
          <w:bCs/>
          <w:lang w:val="en-US"/>
        </w:rPr>
        <w:t xml:space="preserve"> Referring to </w:t>
      </w:r>
      <w:r w:rsidR="00000D90" w:rsidRPr="004552AF">
        <w:rPr>
          <w:b/>
          <w:bCs/>
          <w:lang w:val="en-US"/>
        </w:rPr>
        <w:t>the “</w:t>
      </w:r>
      <w:r w:rsidRPr="004552AF">
        <w:rPr>
          <w:b/>
          <w:bCs/>
          <w:lang w:val="en-US"/>
        </w:rPr>
        <w:t>project on the creation of a legislative environment conducive to the social empowerment of Kuwaiti women</w:t>
      </w:r>
      <w:r w:rsidR="00CB1D4F">
        <w:rPr>
          <w:b/>
          <w:bCs/>
          <w:lang w:val="en-US"/>
        </w:rPr>
        <w:t>”</w:t>
      </w:r>
      <w:r w:rsidRPr="004552AF">
        <w:rPr>
          <w:b/>
          <w:bCs/>
          <w:lang w:val="en-US"/>
        </w:rPr>
        <w:t xml:space="preserve"> implemented by the Ministry of Justice and </w:t>
      </w:r>
      <w:r w:rsidR="000170BF">
        <w:rPr>
          <w:b/>
          <w:bCs/>
          <w:lang w:val="en-US"/>
        </w:rPr>
        <w:t xml:space="preserve">the </w:t>
      </w:r>
      <w:r w:rsidRPr="004552AF">
        <w:rPr>
          <w:b/>
          <w:bCs/>
          <w:lang w:val="en-US"/>
        </w:rPr>
        <w:t xml:space="preserve">Ministry for Social Affairs and </w:t>
      </w:r>
      <w:proofErr w:type="spellStart"/>
      <w:r w:rsidRPr="004552AF">
        <w:rPr>
          <w:b/>
          <w:bCs/>
          <w:lang w:val="en-US"/>
        </w:rPr>
        <w:t>Labour</w:t>
      </w:r>
      <w:proofErr w:type="spellEnd"/>
      <w:r w:rsidR="00077CC7">
        <w:rPr>
          <w:b/>
          <w:bCs/>
          <w:lang w:val="en-US"/>
        </w:rPr>
        <w:t>,</w:t>
      </w:r>
      <w:r w:rsidRPr="004552AF">
        <w:rPr>
          <w:b/>
          <w:bCs/>
          <w:lang w:val="en-US"/>
        </w:rPr>
        <w:t xml:space="preserve"> the Committee calls on the State party to:</w:t>
      </w:r>
    </w:p>
    <w:p w:rsidR="007A357A" w:rsidRPr="004552AF" w:rsidRDefault="00211094" w:rsidP="00211094">
      <w:pPr>
        <w:pStyle w:val="SingleTxtG"/>
        <w:tabs>
          <w:tab w:val="left" w:pos="1701"/>
        </w:tabs>
        <w:ind w:firstLine="567"/>
        <w:rPr>
          <w:b/>
          <w:bCs/>
          <w:lang w:val="en-US"/>
        </w:rPr>
      </w:pPr>
      <w:r>
        <w:rPr>
          <w:b/>
          <w:bCs/>
          <w:lang w:val="en-US"/>
        </w:rPr>
        <w:t>(a)</w:t>
      </w:r>
      <w:r>
        <w:rPr>
          <w:b/>
          <w:bCs/>
          <w:lang w:val="en-US"/>
        </w:rPr>
        <w:tab/>
        <w:t>P</w:t>
      </w:r>
      <w:r w:rsidR="007A357A" w:rsidRPr="004552AF">
        <w:rPr>
          <w:b/>
          <w:bCs/>
          <w:lang w:val="en-US"/>
        </w:rPr>
        <w:t>rioritize the abrogation of all discriminatory laws, including those premised on women’s dependence on men;</w:t>
      </w:r>
    </w:p>
    <w:p w:rsidR="007A357A" w:rsidRPr="004552AF" w:rsidRDefault="00211094" w:rsidP="00211094">
      <w:pPr>
        <w:pStyle w:val="SingleTxtG"/>
        <w:tabs>
          <w:tab w:val="left" w:pos="1701"/>
        </w:tabs>
        <w:ind w:firstLine="567"/>
        <w:rPr>
          <w:b/>
          <w:bCs/>
          <w:lang w:val="en-US"/>
        </w:rPr>
      </w:pPr>
      <w:r>
        <w:rPr>
          <w:b/>
          <w:bCs/>
          <w:lang w:val="en-US"/>
        </w:rPr>
        <w:t>(b)</w:t>
      </w:r>
      <w:r>
        <w:rPr>
          <w:b/>
          <w:bCs/>
          <w:lang w:val="en-US"/>
        </w:rPr>
        <w:tab/>
        <w:t>U</w:t>
      </w:r>
      <w:r w:rsidR="007A357A" w:rsidRPr="004552AF">
        <w:rPr>
          <w:b/>
          <w:bCs/>
          <w:lang w:val="en-US"/>
        </w:rPr>
        <w:t>ndertake a gender-based assessment of the impact of</w:t>
      </w:r>
      <w:r w:rsidR="001F36F8">
        <w:rPr>
          <w:b/>
          <w:bCs/>
          <w:lang w:val="en-US"/>
        </w:rPr>
        <w:t xml:space="preserve"> all</w:t>
      </w:r>
      <w:r w:rsidR="007A357A" w:rsidRPr="004552AF">
        <w:rPr>
          <w:b/>
          <w:bCs/>
          <w:lang w:val="en-US"/>
        </w:rPr>
        <w:t xml:space="preserve"> legislation, </w:t>
      </w:r>
      <w:r w:rsidR="001F36F8">
        <w:rPr>
          <w:b/>
          <w:bCs/>
          <w:lang w:val="en-US"/>
        </w:rPr>
        <w:t>including</w:t>
      </w:r>
      <w:r w:rsidR="001F36F8" w:rsidRPr="004552AF">
        <w:rPr>
          <w:b/>
          <w:bCs/>
          <w:lang w:val="en-US"/>
        </w:rPr>
        <w:t xml:space="preserve"> </w:t>
      </w:r>
      <w:r w:rsidR="007A357A" w:rsidRPr="004552AF">
        <w:rPr>
          <w:b/>
          <w:bCs/>
          <w:lang w:val="en-US"/>
        </w:rPr>
        <w:t>gender-neutral laws</w:t>
      </w:r>
      <w:r w:rsidR="000170BF">
        <w:rPr>
          <w:b/>
          <w:bCs/>
          <w:lang w:val="en-US"/>
        </w:rPr>
        <w:t>,</w:t>
      </w:r>
      <w:r w:rsidR="007A357A" w:rsidRPr="004552AF">
        <w:rPr>
          <w:b/>
          <w:bCs/>
          <w:lang w:val="en-US"/>
        </w:rPr>
        <w:t xml:space="preserve"> which </w:t>
      </w:r>
      <w:r w:rsidR="001F36F8">
        <w:rPr>
          <w:b/>
          <w:bCs/>
          <w:lang w:val="en-US"/>
        </w:rPr>
        <w:t xml:space="preserve">might </w:t>
      </w:r>
      <w:r w:rsidR="007A357A" w:rsidRPr="004552AF">
        <w:rPr>
          <w:b/>
          <w:bCs/>
          <w:lang w:val="en-US"/>
        </w:rPr>
        <w:t>have indirect effect on the equal enjoyment of economic, social and cultural rights by men and women;</w:t>
      </w:r>
    </w:p>
    <w:p w:rsidR="007A357A" w:rsidRPr="004552AF" w:rsidRDefault="00211094" w:rsidP="00211094">
      <w:pPr>
        <w:pStyle w:val="SingleTxtG"/>
        <w:tabs>
          <w:tab w:val="left" w:pos="1701"/>
        </w:tabs>
        <w:ind w:firstLine="567"/>
        <w:rPr>
          <w:b/>
          <w:bCs/>
          <w:lang w:val="en-US"/>
        </w:rPr>
      </w:pPr>
      <w:r>
        <w:rPr>
          <w:b/>
          <w:bCs/>
          <w:lang w:val="en-US"/>
        </w:rPr>
        <w:t>(c)</w:t>
      </w:r>
      <w:r>
        <w:rPr>
          <w:b/>
          <w:bCs/>
          <w:lang w:val="en-US"/>
        </w:rPr>
        <w:tab/>
        <w:t>D</w:t>
      </w:r>
      <w:r w:rsidR="007A357A" w:rsidRPr="004552AF">
        <w:rPr>
          <w:b/>
          <w:bCs/>
          <w:lang w:val="en-US"/>
        </w:rPr>
        <w:t xml:space="preserve">raw primarily on international law on equality between men and women, </w:t>
      </w:r>
      <w:r w:rsidR="001F36F8">
        <w:rPr>
          <w:b/>
          <w:bCs/>
          <w:lang w:val="en-US"/>
        </w:rPr>
        <w:t>as we</w:t>
      </w:r>
      <w:r w:rsidR="00857188">
        <w:rPr>
          <w:b/>
          <w:bCs/>
          <w:lang w:val="en-US"/>
        </w:rPr>
        <w:t>ll as the experiences of other S</w:t>
      </w:r>
      <w:r w:rsidR="001F36F8">
        <w:rPr>
          <w:b/>
          <w:bCs/>
          <w:lang w:val="en-US"/>
        </w:rPr>
        <w:t>tates with similar legal and cultural traditions</w:t>
      </w:r>
      <w:r w:rsidR="0076716C">
        <w:rPr>
          <w:b/>
          <w:bCs/>
          <w:lang w:val="en-US"/>
        </w:rPr>
        <w:t>,</w:t>
      </w:r>
      <w:r w:rsidR="0076716C" w:rsidRPr="0076716C">
        <w:rPr>
          <w:b/>
          <w:bCs/>
          <w:lang w:val="en-US"/>
        </w:rPr>
        <w:t xml:space="preserve"> </w:t>
      </w:r>
      <w:r w:rsidR="0076716C" w:rsidRPr="004552AF">
        <w:rPr>
          <w:b/>
          <w:bCs/>
          <w:lang w:val="en-US"/>
        </w:rPr>
        <w:t>for any legislative change</w:t>
      </w:r>
      <w:r w:rsidR="007A357A" w:rsidRPr="004552AF">
        <w:rPr>
          <w:b/>
          <w:bCs/>
          <w:lang w:val="en-US"/>
        </w:rPr>
        <w:t>;</w:t>
      </w:r>
      <w:r w:rsidR="00077CC7">
        <w:rPr>
          <w:b/>
          <w:bCs/>
          <w:lang w:val="en-US"/>
        </w:rPr>
        <w:t xml:space="preserve"> and</w:t>
      </w:r>
      <w:r w:rsidR="00000D90" w:rsidRPr="004552AF">
        <w:rPr>
          <w:b/>
          <w:bCs/>
          <w:lang w:val="en-US"/>
        </w:rPr>
        <w:t xml:space="preserve"> </w:t>
      </w:r>
    </w:p>
    <w:p w:rsidR="007A357A" w:rsidRPr="004552AF" w:rsidRDefault="00211094" w:rsidP="00211094">
      <w:pPr>
        <w:pStyle w:val="SingleTxtG"/>
        <w:tabs>
          <w:tab w:val="left" w:pos="1701"/>
        </w:tabs>
        <w:ind w:firstLine="567"/>
        <w:rPr>
          <w:b/>
          <w:bCs/>
          <w:lang w:val="en-US"/>
        </w:rPr>
      </w:pPr>
      <w:r>
        <w:rPr>
          <w:b/>
          <w:bCs/>
          <w:lang w:val="en-US"/>
        </w:rPr>
        <w:t>(d)</w:t>
      </w:r>
      <w:r>
        <w:rPr>
          <w:b/>
          <w:bCs/>
          <w:lang w:val="en-US"/>
        </w:rPr>
        <w:tab/>
      </w:r>
      <w:r w:rsidRPr="004552AF">
        <w:rPr>
          <w:b/>
          <w:bCs/>
          <w:lang w:val="en-US"/>
        </w:rPr>
        <w:t>Address</w:t>
      </w:r>
      <w:r w:rsidR="007A357A" w:rsidRPr="004552AF">
        <w:rPr>
          <w:b/>
          <w:bCs/>
          <w:lang w:val="en-US"/>
        </w:rPr>
        <w:t xml:space="preserve"> gender inequality in the application of law, including by ensuring that women judges sit on the newly established family courts</w:t>
      </w:r>
      <w:r w:rsidR="00077CC7">
        <w:rPr>
          <w:b/>
          <w:bCs/>
          <w:lang w:val="en-US"/>
        </w:rPr>
        <w:t>.</w:t>
      </w:r>
      <w:r w:rsidR="00614207" w:rsidRPr="004552AF">
        <w:rPr>
          <w:b/>
          <w:bCs/>
          <w:lang w:val="en-US"/>
        </w:rPr>
        <w:t xml:space="preserve"> </w:t>
      </w:r>
    </w:p>
    <w:p w:rsidR="007A357A" w:rsidRPr="004552AF" w:rsidRDefault="007A357A" w:rsidP="007A357A">
      <w:pPr>
        <w:pStyle w:val="SingleTxtG"/>
        <w:tabs>
          <w:tab w:val="left" w:pos="1701"/>
        </w:tabs>
        <w:rPr>
          <w:b/>
          <w:bCs/>
          <w:lang w:val="en-US"/>
        </w:rPr>
      </w:pPr>
      <w:r w:rsidRPr="004552AF">
        <w:rPr>
          <w:b/>
          <w:bCs/>
          <w:lang w:val="en-US"/>
        </w:rPr>
        <w:t xml:space="preserve">In this regard, the Committee draws the </w:t>
      </w:r>
      <w:r w:rsidR="000170BF">
        <w:rPr>
          <w:b/>
          <w:bCs/>
          <w:lang w:val="en-US"/>
        </w:rPr>
        <w:t xml:space="preserve">State party’s </w:t>
      </w:r>
      <w:r w:rsidRPr="004552AF">
        <w:rPr>
          <w:b/>
          <w:bCs/>
          <w:lang w:val="en-US"/>
        </w:rPr>
        <w:t xml:space="preserve">attention to its general comment </w:t>
      </w:r>
      <w:r w:rsidR="00067C92">
        <w:rPr>
          <w:b/>
          <w:bCs/>
          <w:lang w:val="en-US"/>
        </w:rPr>
        <w:t>No. </w:t>
      </w:r>
      <w:r w:rsidRPr="004552AF">
        <w:rPr>
          <w:b/>
          <w:bCs/>
          <w:lang w:val="en-US"/>
        </w:rPr>
        <w:t>16 (2005) on the equal right of men and women to the enjoyment of all economic, social and cultural rights.</w:t>
      </w:r>
    </w:p>
    <w:p w:rsidR="007A357A" w:rsidRPr="004552AF" w:rsidRDefault="007A357A" w:rsidP="00727603">
      <w:pPr>
        <w:pStyle w:val="SingleTxtG"/>
        <w:numPr>
          <w:ilvl w:val="0"/>
          <w:numId w:val="19"/>
        </w:numPr>
        <w:tabs>
          <w:tab w:val="clear" w:pos="1637"/>
        </w:tabs>
        <w:ind w:left="1134" w:firstLine="0"/>
        <w:rPr>
          <w:lang w:val="en-US"/>
        </w:rPr>
      </w:pPr>
      <w:r w:rsidRPr="004974C1">
        <w:rPr>
          <w:lang w:val="en-US"/>
        </w:rPr>
        <w:t>The Committee notes</w:t>
      </w:r>
      <w:r w:rsidRPr="004552AF">
        <w:rPr>
          <w:lang w:val="en-US"/>
        </w:rPr>
        <w:t xml:space="preserve"> with concern that </w:t>
      </w:r>
      <w:r w:rsidR="008C5D86" w:rsidRPr="004552AF">
        <w:rPr>
          <w:lang w:val="en-US"/>
        </w:rPr>
        <w:t>fewer than</w:t>
      </w:r>
      <w:r w:rsidRPr="004552AF">
        <w:rPr>
          <w:lang w:val="en-US"/>
        </w:rPr>
        <w:t xml:space="preserve"> </w:t>
      </w:r>
      <w:r w:rsidR="00107B10">
        <w:rPr>
          <w:lang w:val="en-US"/>
        </w:rPr>
        <w:t>50</w:t>
      </w:r>
      <w:r w:rsidR="00107B10" w:rsidRPr="004552AF">
        <w:rPr>
          <w:lang w:val="en-US"/>
        </w:rPr>
        <w:t xml:space="preserve"> </w:t>
      </w:r>
      <w:r w:rsidRPr="004552AF">
        <w:rPr>
          <w:lang w:val="en-US"/>
        </w:rPr>
        <w:t xml:space="preserve">per cent of women </w:t>
      </w:r>
      <w:r w:rsidR="000170BF">
        <w:rPr>
          <w:lang w:val="en-US"/>
        </w:rPr>
        <w:t xml:space="preserve">hold </w:t>
      </w:r>
      <w:r w:rsidRPr="004552AF">
        <w:rPr>
          <w:lang w:val="en-US"/>
        </w:rPr>
        <w:t>employ</w:t>
      </w:r>
      <w:r w:rsidR="000170BF">
        <w:rPr>
          <w:lang w:val="en-US"/>
        </w:rPr>
        <w:t>ment</w:t>
      </w:r>
      <w:r w:rsidRPr="004552AF">
        <w:rPr>
          <w:lang w:val="en-US"/>
        </w:rPr>
        <w:t xml:space="preserve"> in the State party</w:t>
      </w:r>
      <w:r w:rsidR="000170BF">
        <w:rPr>
          <w:lang w:val="en-US"/>
        </w:rPr>
        <w:t>,</w:t>
      </w:r>
      <w:r w:rsidRPr="004552AF">
        <w:rPr>
          <w:lang w:val="en-US"/>
        </w:rPr>
        <w:t xml:space="preserve"> and th</w:t>
      </w:r>
      <w:r w:rsidR="00EE3678" w:rsidRPr="004552AF">
        <w:rPr>
          <w:lang w:val="en-US"/>
        </w:rPr>
        <w:t>at the gender pay gap is over 30</w:t>
      </w:r>
      <w:r w:rsidRPr="004552AF">
        <w:rPr>
          <w:lang w:val="en-US"/>
        </w:rPr>
        <w:t xml:space="preserve"> per cent. Moreover, the Committee is concerned at the absence of concrete policies to improve access to employment by women. The Committee is further concerned at the absence of policies aimed at addressing the horizontal and vertical gender segregation in the </w:t>
      </w:r>
      <w:proofErr w:type="spellStart"/>
      <w:r w:rsidRPr="004552AF">
        <w:rPr>
          <w:lang w:val="en-US"/>
        </w:rPr>
        <w:t>labour</w:t>
      </w:r>
      <w:proofErr w:type="spellEnd"/>
      <w:r w:rsidRPr="004552AF">
        <w:rPr>
          <w:lang w:val="en-US"/>
        </w:rPr>
        <w:t xml:space="preserve"> market (</w:t>
      </w:r>
      <w:r w:rsidR="00067C92">
        <w:rPr>
          <w:lang w:val="en-US"/>
        </w:rPr>
        <w:t>art</w:t>
      </w:r>
      <w:r w:rsidR="000170BF">
        <w:rPr>
          <w:lang w:val="en-US"/>
        </w:rPr>
        <w:t>s</w:t>
      </w:r>
      <w:r w:rsidR="00067C92">
        <w:rPr>
          <w:lang w:val="en-US"/>
        </w:rPr>
        <w:t>. </w:t>
      </w:r>
      <w:r w:rsidRPr="004552AF">
        <w:rPr>
          <w:lang w:val="en-US"/>
        </w:rPr>
        <w:t>3</w:t>
      </w:r>
      <w:r w:rsidR="000170BF">
        <w:rPr>
          <w:lang w:val="en-US"/>
        </w:rPr>
        <w:t xml:space="preserve"> and</w:t>
      </w:r>
      <w:r w:rsidRPr="004552AF">
        <w:rPr>
          <w:lang w:val="en-US"/>
        </w:rPr>
        <w:t xml:space="preserve"> 6)</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 xml:space="preserve">The Committee calls on the State party to ensure that the comprehensive strategy to be adopted by the Cabinet Committee on Women’s Affairs address women’s </w:t>
      </w:r>
      <w:r w:rsidRPr="008F31D1">
        <w:rPr>
          <w:b/>
          <w:bCs/>
          <w:lang w:val="en-US"/>
        </w:rPr>
        <w:t>under-representation</w:t>
      </w:r>
      <w:r w:rsidRPr="004552AF">
        <w:rPr>
          <w:b/>
          <w:bCs/>
          <w:lang w:val="en-US"/>
        </w:rPr>
        <w:t xml:space="preserve"> in employment</w:t>
      </w:r>
      <w:r w:rsidR="000170BF">
        <w:rPr>
          <w:b/>
          <w:bCs/>
          <w:lang w:val="en-US"/>
        </w:rPr>
        <w:t xml:space="preserve">, as well as </w:t>
      </w:r>
      <w:r w:rsidR="00EE3678" w:rsidRPr="004552AF">
        <w:rPr>
          <w:b/>
          <w:bCs/>
          <w:lang w:val="en-US"/>
        </w:rPr>
        <w:t xml:space="preserve">the vertical and horizontal gender segregation in the </w:t>
      </w:r>
      <w:proofErr w:type="spellStart"/>
      <w:r w:rsidR="00EE3678" w:rsidRPr="004552AF">
        <w:rPr>
          <w:b/>
          <w:bCs/>
          <w:lang w:val="en-US"/>
        </w:rPr>
        <w:t>labour</w:t>
      </w:r>
      <w:proofErr w:type="spellEnd"/>
      <w:r w:rsidR="00EE3678" w:rsidRPr="004552AF">
        <w:rPr>
          <w:b/>
          <w:bCs/>
          <w:lang w:val="en-US"/>
        </w:rPr>
        <w:t xml:space="preserve"> market</w:t>
      </w:r>
      <w:r w:rsidRPr="004552AF">
        <w:rPr>
          <w:b/>
          <w:bCs/>
          <w:lang w:val="en-US"/>
        </w:rPr>
        <w:t>, including by introducing temporary special measures</w:t>
      </w:r>
      <w:r w:rsidR="002237BA">
        <w:rPr>
          <w:b/>
          <w:bCs/>
          <w:lang w:val="en-US"/>
        </w:rPr>
        <w:t xml:space="preserve"> with a view to correct</w:t>
      </w:r>
      <w:r w:rsidR="000170BF">
        <w:rPr>
          <w:b/>
          <w:bCs/>
          <w:lang w:val="en-US"/>
        </w:rPr>
        <w:t>ing</w:t>
      </w:r>
      <w:r w:rsidR="002237BA">
        <w:rPr>
          <w:b/>
          <w:bCs/>
          <w:lang w:val="en-US"/>
        </w:rPr>
        <w:t xml:space="preserve"> this imbalance</w:t>
      </w:r>
      <w:r w:rsidR="00EE3678" w:rsidRPr="004552AF">
        <w:rPr>
          <w:b/>
          <w:bCs/>
          <w:lang w:val="en-US"/>
        </w:rPr>
        <w:t xml:space="preserve"> in the public sector</w:t>
      </w:r>
      <w:r w:rsidRPr="004552AF">
        <w:rPr>
          <w:b/>
          <w:bCs/>
          <w:lang w:val="en-US"/>
        </w:rPr>
        <w:t xml:space="preserve">, with </w:t>
      </w:r>
      <w:r w:rsidR="000170BF">
        <w:rPr>
          <w:b/>
          <w:bCs/>
          <w:lang w:val="en-US"/>
        </w:rPr>
        <w:t xml:space="preserve">a </w:t>
      </w:r>
      <w:r w:rsidRPr="004552AF">
        <w:rPr>
          <w:b/>
          <w:bCs/>
          <w:lang w:val="en-US"/>
        </w:rPr>
        <w:t>specific target and timeline.</w:t>
      </w:r>
    </w:p>
    <w:p w:rsidR="007A357A" w:rsidRPr="004552AF" w:rsidRDefault="007A357A" w:rsidP="00EF27D8">
      <w:pPr>
        <w:pStyle w:val="SingleTxtG"/>
        <w:numPr>
          <w:ilvl w:val="0"/>
          <w:numId w:val="19"/>
        </w:numPr>
        <w:tabs>
          <w:tab w:val="clear" w:pos="1637"/>
        </w:tabs>
        <w:ind w:left="1134" w:firstLine="0"/>
        <w:rPr>
          <w:lang w:val="en-US"/>
        </w:rPr>
      </w:pPr>
      <w:r w:rsidRPr="00537703">
        <w:rPr>
          <w:lang w:val="en-US"/>
        </w:rPr>
        <w:t>The Committee regrets</w:t>
      </w:r>
      <w:r w:rsidRPr="004552AF">
        <w:rPr>
          <w:lang w:val="en-US"/>
        </w:rPr>
        <w:t xml:space="preserve"> that the State party did not confirm whether the legal provisions on penalties involving</w:t>
      </w:r>
      <w:r w:rsidR="00CF6839" w:rsidRPr="004552AF">
        <w:rPr>
          <w:lang w:val="en-US"/>
        </w:rPr>
        <w:t xml:space="preserve"> compulsory</w:t>
      </w:r>
      <w:r w:rsidR="00614207" w:rsidRPr="004552AF">
        <w:rPr>
          <w:lang w:val="en-US"/>
        </w:rPr>
        <w:t xml:space="preserve"> </w:t>
      </w:r>
      <w:proofErr w:type="spellStart"/>
      <w:r w:rsidR="006E2409" w:rsidRPr="004552AF">
        <w:rPr>
          <w:lang w:val="en-US"/>
        </w:rPr>
        <w:t>labour</w:t>
      </w:r>
      <w:proofErr w:type="spellEnd"/>
      <w:r w:rsidR="006E2409" w:rsidRPr="004552AF">
        <w:rPr>
          <w:lang w:val="en-US"/>
        </w:rPr>
        <w:t xml:space="preserve"> in </w:t>
      </w:r>
      <w:r w:rsidR="00CF6839" w:rsidRPr="004552AF">
        <w:rPr>
          <w:lang w:val="en-US"/>
        </w:rPr>
        <w:t>prison</w:t>
      </w:r>
      <w:r w:rsidRPr="004552AF">
        <w:rPr>
          <w:lang w:val="en-US"/>
        </w:rPr>
        <w:t xml:space="preserve"> ha</w:t>
      </w:r>
      <w:r w:rsidR="00EE3678" w:rsidRPr="004552AF">
        <w:rPr>
          <w:lang w:val="en-US"/>
        </w:rPr>
        <w:t>d</w:t>
      </w:r>
      <w:r w:rsidRPr="004552AF">
        <w:rPr>
          <w:lang w:val="en-US"/>
        </w:rPr>
        <w:t xml:space="preserve"> been amended (</w:t>
      </w:r>
      <w:r w:rsidR="00067C92">
        <w:rPr>
          <w:lang w:val="en-US"/>
        </w:rPr>
        <w:t>art. </w:t>
      </w:r>
      <w:r w:rsidRPr="004552AF">
        <w:rPr>
          <w:lang w:val="en-US"/>
        </w:rPr>
        <w:t>6)</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 xml:space="preserve">The Committee calls on the State party to abolish the penalty of forced </w:t>
      </w:r>
      <w:proofErr w:type="spellStart"/>
      <w:r w:rsidRPr="004552AF">
        <w:rPr>
          <w:b/>
          <w:bCs/>
          <w:lang w:val="en-US"/>
        </w:rPr>
        <w:t>labour</w:t>
      </w:r>
      <w:proofErr w:type="spellEnd"/>
      <w:r w:rsidRPr="004552AF">
        <w:rPr>
          <w:b/>
          <w:bCs/>
          <w:lang w:val="en-US"/>
        </w:rPr>
        <w:t xml:space="preserve"> so as to bring its legislation into line with article 6 of the Covenant and </w:t>
      </w:r>
      <w:r w:rsidR="00537703">
        <w:rPr>
          <w:b/>
          <w:bCs/>
          <w:lang w:val="en-US"/>
        </w:rPr>
        <w:t xml:space="preserve">the International </w:t>
      </w:r>
      <w:proofErr w:type="spellStart"/>
      <w:r w:rsidR="00537703">
        <w:rPr>
          <w:b/>
          <w:bCs/>
          <w:lang w:val="en-US"/>
        </w:rPr>
        <w:t>Labour</w:t>
      </w:r>
      <w:proofErr w:type="spellEnd"/>
      <w:r w:rsidR="00537703">
        <w:rPr>
          <w:b/>
          <w:bCs/>
          <w:lang w:val="en-US"/>
        </w:rPr>
        <w:t xml:space="preserve"> Office (ILO) </w:t>
      </w:r>
      <w:r w:rsidRPr="004552AF">
        <w:rPr>
          <w:b/>
          <w:bCs/>
          <w:lang w:val="en-US"/>
        </w:rPr>
        <w:t xml:space="preserve">Abolition of Forced </w:t>
      </w:r>
      <w:proofErr w:type="spellStart"/>
      <w:r w:rsidRPr="004552AF">
        <w:rPr>
          <w:b/>
          <w:bCs/>
          <w:lang w:val="en-US"/>
        </w:rPr>
        <w:t>Labour</w:t>
      </w:r>
      <w:proofErr w:type="spellEnd"/>
      <w:r w:rsidRPr="004552AF">
        <w:rPr>
          <w:b/>
          <w:bCs/>
          <w:lang w:val="en-US"/>
        </w:rPr>
        <w:t xml:space="preserve"> Convention</w:t>
      </w:r>
      <w:r w:rsidR="00287B29">
        <w:rPr>
          <w:b/>
          <w:bCs/>
          <w:lang w:val="en-US"/>
        </w:rPr>
        <w:t>, 1957 (</w:t>
      </w:r>
      <w:r w:rsidR="00067C92">
        <w:rPr>
          <w:b/>
          <w:bCs/>
          <w:lang w:val="en-US"/>
        </w:rPr>
        <w:t>No. </w:t>
      </w:r>
      <w:r w:rsidRPr="004552AF">
        <w:rPr>
          <w:b/>
          <w:bCs/>
          <w:lang w:val="en-US"/>
        </w:rPr>
        <w:t>105</w:t>
      </w:r>
      <w:r w:rsidR="00287B29">
        <w:rPr>
          <w:b/>
          <w:bCs/>
          <w:lang w:val="en-US"/>
        </w:rPr>
        <w:t>)</w:t>
      </w:r>
      <w:r w:rsidRPr="004552AF">
        <w:rPr>
          <w:b/>
          <w:bCs/>
          <w:lang w:val="en-US"/>
        </w:rPr>
        <w:t>. It also recommends that the State party ensure that prisoners work only if they consent to do so.</w:t>
      </w:r>
    </w:p>
    <w:p w:rsidR="007A357A" w:rsidRPr="004552AF" w:rsidRDefault="00386C71" w:rsidP="00EF27D8">
      <w:pPr>
        <w:pStyle w:val="SingleTxtG"/>
        <w:numPr>
          <w:ilvl w:val="0"/>
          <w:numId w:val="19"/>
        </w:numPr>
        <w:tabs>
          <w:tab w:val="clear" w:pos="1637"/>
        </w:tabs>
        <w:ind w:left="1134" w:firstLine="0"/>
      </w:pPr>
      <w:r>
        <w:t xml:space="preserve">The Committee regrets the absence of detailed statistical data on the situation of persons with disabilities, including in employment. </w:t>
      </w:r>
      <w:r w:rsidR="007A357A" w:rsidRPr="004552AF">
        <w:t>The Committee</w:t>
      </w:r>
      <w:r>
        <w:t xml:space="preserve"> also</w:t>
      </w:r>
      <w:r w:rsidR="007A357A" w:rsidRPr="004552AF">
        <w:t xml:space="preserve"> regrets that it has not been provided with </w:t>
      </w:r>
      <w:r w:rsidR="00CF6839" w:rsidRPr="004552AF">
        <w:t xml:space="preserve">detailed </w:t>
      </w:r>
      <w:r w:rsidR="007A357A" w:rsidRPr="004552AF">
        <w:t>information on the enforcement of the quota of persons with disabilities</w:t>
      </w:r>
      <w:r w:rsidR="00ED37BD">
        <w:t xml:space="preserve"> to be employed</w:t>
      </w:r>
      <w:r w:rsidR="007A357A" w:rsidRPr="004552AF">
        <w:t xml:space="preserve"> </w:t>
      </w:r>
      <w:r w:rsidR="00107B10">
        <w:t>in companies</w:t>
      </w:r>
      <w:r w:rsidR="00077CC7">
        <w:t>,</w:t>
      </w:r>
      <w:r w:rsidR="00107B10">
        <w:t xml:space="preserve"> </w:t>
      </w:r>
      <w:r w:rsidR="00ED37BD">
        <w:t>according to</w:t>
      </w:r>
      <w:r w:rsidR="00107B10">
        <w:t xml:space="preserve"> domestic law</w:t>
      </w:r>
      <w:r w:rsidR="002237BA">
        <w:t xml:space="preserve"> </w:t>
      </w:r>
      <w:r w:rsidR="007A357A" w:rsidRPr="004552AF">
        <w:t>(</w:t>
      </w:r>
      <w:r w:rsidR="00067C92">
        <w:t>art. </w:t>
      </w:r>
      <w:r w:rsidR="007A357A" w:rsidRPr="004552AF">
        <w:rPr>
          <w:lang w:val="en-US"/>
        </w:rPr>
        <w:t>6)</w:t>
      </w:r>
      <w:r w:rsidR="00727603">
        <w:rPr>
          <w:lang w:val="en-US"/>
        </w:rPr>
        <w:t>.</w:t>
      </w:r>
    </w:p>
    <w:p w:rsidR="007A357A" w:rsidRPr="002E5B63" w:rsidRDefault="007A357A" w:rsidP="00067C92">
      <w:pPr>
        <w:pStyle w:val="SingleTxtG"/>
        <w:tabs>
          <w:tab w:val="left" w:pos="1701"/>
        </w:tabs>
        <w:rPr>
          <w:b/>
          <w:bCs/>
        </w:rPr>
      </w:pPr>
      <w:r w:rsidRPr="004552AF">
        <w:rPr>
          <w:b/>
          <w:bCs/>
        </w:rPr>
        <w:t>The Committee re</w:t>
      </w:r>
      <w:r w:rsidRPr="004552AF">
        <w:rPr>
          <w:b/>
          <w:bCs/>
          <w:lang w:val="en-US"/>
        </w:rPr>
        <w:t xml:space="preserve">commends that the </w:t>
      </w:r>
      <w:r w:rsidRPr="004552AF">
        <w:rPr>
          <w:b/>
          <w:bCs/>
        </w:rPr>
        <w:t xml:space="preserve">State party </w:t>
      </w:r>
      <w:r w:rsidRPr="004552AF">
        <w:rPr>
          <w:b/>
          <w:bCs/>
          <w:lang w:val="en-US"/>
        </w:rPr>
        <w:t xml:space="preserve">effectively enforce </w:t>
      </w:r>
      <w:r w:rsidRPr="004552AF">
        <w:rPr>
          <w:b/>
          <w:bCs/>
        </w:rPr>
        <w:t xml:space="preserve">the quota </w:t>
      </w:r>
      <w:r w:rsidRPr="004552AF">
        <w:rPr>
          <w:b/>
          <w:bCs/>
          <w:lang w:val="en-US"/>
        </w:rPr>
        <w:t xml:space="preserve">of </w:t>
      </w:r>
      <w:r w:rsidR="00CF6839" w:rsidRPr="004552AF">
        <w:rPr>
          <w:b/>
          <w:bCs/>
          <w:lang w:val="en-US"/>
        </w:rPr>
        <w:t xml:space="preserve">4 per cent </w:t>
      </w:r>
      <w:r w:rsidR="004974C1">
        <w:rPr>
          <w:b/>
          <w:bCs/>
          <w:lang w:val="en-US"/>
        </w:rPr>
        <w:t>for</w:t>
      </w:r>
      <w:r w:rsidR="00CF6839" w:rsidRPr="004552AF">
        <w:rPr>
          <w:b/>
          <w:bCs/>
          <w:lang w:val="en-US"/>
        </w:rPr>
        <w:t xml:space="preserve"> </w:t>
      </w:r>
      <w:r w:rsidRPr="004552AF">
        <w:rPr>
          <w:b/>
          <w:bCs/>
          <w:lang w:val="en-US"/>
        </w:rPr>
        <w:t xml:space="preserve">employment </w:t>
      </w:r>
      <w:r w:rsidRPr="004552AF">
        <w:rPr>
          <w:b/>
          <w:bCs/>
        </w:rPr>
        <w:t>of persons with disabilities in companies with</w:t>
      </w:r>
      <w:r w:rsidR="00107B10">
        <w:rPr>
          <w:b/>
          <w:bCs/>
        </w:rPr>
        <w:t xml:space="preserve"> more than</w:t>
      </w:r>
      <w:r w:rsidRPr="004552AF">
        <w:rPr>
          <w:b/>
          <w:bCs/>
        </w:rPr>
        <w:t xml:space="preserve"> 50</w:t>
      </w:r>
      <w:r w:rsidR="00067C92">
        <w:rPr>
          <w:b/>
          <w:bCs/>
        </w:rPr>
        <w:t> </w:t>
      </w:r>
      <w:r w:rsidRPr="004552AF">
        <w:rPr>
          <w:b/>
          <w:bCs/>
        </w:rPr>
        <w:t>workers</w:t>
      </w:r>
      <w:r w:rsidR="00107B10">
        <w:rPr>
          <w:b/>
          <w:bCs/>
        </w:rPr>
        <w:t>, as established under the State party’s law</w:t>
      </w:r>
      <w:r w:rsidRPr="004552AF">
        <w:rPr>
          <w:b/>
          <w:bCs/>
          <w:lang w:val="en-US"/>
        </w:rPr>
        <w:t xml:space="preserve">. </w:t>
      </w:r>
      <w:r w:rsidR="002237BA">
        <w:rPr>
          <w:b/>
          <w:bCs/>
          <w:lang w:val="en-US"/>
        </w:rPr>
        <w:t>The Committee also recommends that the State party e</w:t>
      </w:r>
      <w:r w:rsidR="00857188">
        <w:rPr>
          <w:b/>
          <w:bCs/>
          <w:lang w:val="en-US"/>
        </w:rPr>
        <w:t>nsure</w:t>
      </w:r>
      <w:r w:rsidR="00373347">
        <w:rPr>
          <w:b/>
          <w:bCs/>
          <w:lang w:val="en-US"/>
        </w:rPr>
        <w:t xml:space="preserve"> an</w:t>
      </w:r>
      <w:r w:rsidR="002237BA">
        <w:rPr>
          <w:b/>
          <w:bCs/>
          <w:lang w:val="en-US"/>
        </w:rPr>
        <w:t xml:space="preserve"> adequate collection of statistical data on the situation of persons with disabilities allowing </w:t>
      </w:r>
      <w:r w:rsidR="001C6508">
        <w:rPr>
          <w:b/>
          <w:bCs/>
          <w:lang w:val="en-US"/>
        </w:rPr>
        <w:t>an effective implementation of the Convention on the Rights of Persons with D</w:t>
      </w:r>
      <w:r w:rsidR="002237BA">
        <w:rPr>
          <w:b/>
          <w:bCs/>
          <w:lang w:val="en-US"/>
        </w:rPr>
        <w:t xml:space="preserve">isabilities. </w:t>
      </w:r>
      <w:r w:rsidRPr="004552AF">
        <w:rPr>
          <w:b/>
          <w:bCs/>
        </w:rPr>
        <w:t xml:space="preserve">The Committee refers the State party to its </w:t>
      </w:r>
      <w:r w:rsidRPr="002E5B63">
        <w:rPr>
          <w:b/>
          <w:bCs/>
        </w:rPr>
        <w:t xml:space="preserve">general comment </w:t>
      </w:r>
      <w:r w:rsidR="00067C92">
        <w:rPr>
          <w:b/>
          <w:bCs/>
        </w:rPr>
        <w:t>No. </w:t>
      </w:r>
      <w:r w:rsidRPr="002E5B63">
        <w:rPr>
          <w:b/>
          <w:bCs/>
        </w:rPr>
        <w:t>5 (1994) on the rights of persons with disabilities.</w:t>
      </w:r>
    </w:p>
    <w:p w:rsidR="007A357A" w:rsidRPr="002E5B63" w:rsidRDefault="007A357A" w:rsidP="00984D9C">
      <w:pPr>
        <w:pStyle w:val="SingleTxtG"/>
        <w:numPr>
          <w:ilvl w:val="0"/>
          <w:numId w:val="19"/>
        </w:numPr>
        <w:tabs>
          <w:tab w:val="clear" w:pos="1637"/>
        </w:tabs>
        <w:ind w:left="1134" w:firstLine="0"/>
        <w:rPr>
          <w:lang w:val="en-US"/>
        </w:rPr>
      </w:pPr>
      <w:r w:rsidRPr="002E5B63">
        <w:rPr>
          <w:lang w:val="en-US"/>
        </w:rPr>
        <w:t xml:space="preserve">The Committee is concerned </w:t>
      </w:r>
      <w:r w:rsidR="00227652" w:rsidRPr="00406C30">
        <w:rPr>
          <w:lang w:val="en-US"/>
        </w:rPr>
        <w:t>that</w:t>
      </w:r>
      <w:r w:rsidR="00987ECE" w:rsidRPr="002E5B63">
        <w:rPr>
          <w:lang w:val="en-US"/>
        </w:rPr>
        <w:t xml:space="preserve"> the</w:t>
      </w:r>
      <w:r w:rsidR="00227652" w:rsidRPr="00406C30">
        <w:rPr>
          <w:lang w:val="en-US"/>
        </w:rPr>
        <w:t xml:space="preserve"> implementation of the</w:t>
      </w:r>
      <w:r w:rsidR="00857188">
        <w:rPr>
          <w:lang w:val="en-US"/>
        </w:rPr>
        <w:t xml:space="preserve"> </w:t>
      </w:r>
      <w:r w:rsidR="00984D9C">
        <w:rPr>
          <w:lang w:val="en-US"/>
        </w:rPr>
        <w:t>”</w:t>
      </w:r>
      <w:proofErr w:type="spellStart"/>
      <w:r w:rsidRPr="002E5B63">
        <w:rPr>
          <w:lang w:val="en-US"/>
        </w:rPr>
        <w:t>Kuwaitization</w:t>
      </w:r>
      <w:proofErr w:type="spellEnd"/>
      <w:r w:rsidR="00984D9C">
        <w:rPr>
          <w:lang w:val="en-US"/>
        </w:rPr>
        <w:t>”</w:t>
      </w:r>
      <w:r w:rsidRPr="002E5B63">
        <w:rPr>
          <w:lang w:val="en-US"/>
        </w:rPr>
        <w:t xml:space="preserve"> plan, which aims to reduce </w:t>
      </w:r>
      <w:r w:rsidR="004974C1">
        <w:rPr>
          <w:lang w:val="en-US"/>
        </w:rPr>
        <w:t xml:space="preserve">the </w:t>
      </w:r>
      <w:r w:rsidRPr="002E5B63">
        <w:rPr>
          <w:lang w:val="en-US"/>
        </w:rPr>
        <w:t xml:space="preserve">foreign workforce by 100,000 every year </w:t>
      </w:r>
      <w:r w:rsidR="004974C1">
        <w:rPr>
          <w:lang w:val="en-US"/>
        </w:rPr>
        <w:t>over</w:t>
      </w:r>
      <w:r w:rsidR="00107B10" w:rsidRPr="002E5B63">
        <w:rPr>
          <w:lang w:val="en-US"/>
        </w:rPr>
        <w:t xml:space="preserve"> </w:t>
      </w:r>
      <w:r w:rsidR="004974C1">
        <w:rPr>
          <w:lang w:val="en-US"/>
        </w:rPr>
        <w:t>10</w:t>
      </w:r>
      <w:r w:rsidR="00227652" w:rsidRPr="00406C30">
        <w:rPr>
          <w:lang w:val="en-US"/>
        </w:rPr>
        <w:t xml:space="preserve"> year</w:t>
      </w:r>
      <w:r w:rsidR="004974C1">
        <w:rPr>
          <w:lang w:val="en-US"/>
        </w:rPr>
        <w:t>s</w:t>
      </w:r>
      <w:r w:rsidR="00227652" w:rsidRPr="00406C30">
        <w:rPr>
          <w:lang w:val="en-US"/>
        </w:rPr>
        <w:t>,</w:t>
      </w:r>
      <w:r w:rsidRPr="002E5B63">
        <w:rPr>
          <w:lang w:val="en-US"/>
        </w:rPr>
        <w:t xml:space="preserve"> </w:t>
      </w:r>
      <w:r w:rsidR="00227652" w:rsidRPr="00406C30">
        <w:rPr>
          <w:lang w:val="en-US"/>
        </w:rPr>
        <w:t>may lead to</w:t>
      </w:r>
      <w:r w:rsidRPr="002E5B63">
        <w:rPr>
          <w:lang w:val="en-US"/>
        </w:rPr>
        <w:t xml:space="preserve"> unfair dismissal, discrimination and other human rights violations (</w:t>
      </w:r>
      <w:r w:rsidR="00067C92">
        <w:rPr>
          <w:lang w:val="en-US"/>
        </w:rPr>
        <w:t>art. </w:t>
      </w:r>
      <w:r w:rsidRPr="002E5B63">
        <w:rPr>
          <w:lang w:val="en-US"/>
        </w:rPr>
        <w:t>6)</w:t>
      </w:r>
      <w:r w:rsidR="00727603">
        <w:rPr>
          <w:lang w:val="en-US"/>
        </w:rPr>
        <w:t>.</w:t>
      </w:r>
    </w:p>
    <w:p w:rsidR="007A357A" w:rsidRPr="004552AF" w:rsidRDefault="007A357A" w:rsidP="00AE6038">
      <w:pPr>
        <w:pStyle w:val="SingleTxtG"/>
        <w:tabs>
          <w:tab w:val="left" w:pos="1701"/>
        </w:tabs>
        <w:rPr>
          <w:b/>
          <w:bCs/>
          <w:lang w:val="en-US"/>
        </w:rPr>
      </w:pPr>
      <w:r w:rsidRPr="002E5B63">
        <w:rPr>
          <w:b/>
          <w:bCs/>
          <w:lang w:val="en-US"/>
        </w:rPr>
        <w:t xml:space="preserve">The Committee </w:t>
      </w:r>
      <w:r w:rsidR="00107B10" w:rsidRPr="002E5B63">
        <w:rPr>
          <w:b/>
          <w:bCs/>
          <w:lang w:val="en-US"/>
        </w:rPr>
        <w:t>calls on the State party to ensure that the</w:t>
      </w:r>
      <w:r w:rsidR="001C6508">
        <w:rPr>
          <w:b/>
          <w:bCs/>
          <w:lang w:val="en-US"/>
        </w:rPr>
        <w:t xml:space="preserve"> </w:t>
      </w:r>
      <w:r w:rsidR="00067C92">
        <w:rPr>
          <w:b/>
          <w:bCs/>
          <w:lang w:val="en-US"/>
        </w:rPr>
        <w:t>“</w:t>
      </w:r>
      <w:proofErr w:type="spellStart"/>
      <w:r w:rsidR="001C6508">
        <w:rPr>
          <w:b/>
          <w:bCs/>
          <w:lang w:val="en-US"/>
        </w:rPr>
        <w:t>Kuwaitization</w:t>
      </w:r>
      <w:proofErr w:type="spellEnd"/>
      <w:r w:rsidR="00067C92">
        <w:rPr>
          <w:b/>
          <w:bCs/>
          <w:lang w:val="en-US"/>
        </w:rPr>
        <w:t>”</w:t>
      </w:r>
      <w:r w:rsidR="00107B10" w:rsidRPr="002E5B63">
        <w:rPr>
          <w:b/>
          <w:bCs/>
          <w:lang w:val="en-US"/>
        </w:rPr>
        <w:t xml:space="preserve"> plan </w:t>
      </w:r>
      <w:r w:rsidR="00227652" w:rsidRPr="00406C30">
        <w:rPr>
          <w:b/>
          <w:bCs/>
          <w:lang w:val="en-US"/>
        </w:rPr>
        <w:t xml:space="preserve">guarantees </w:t>
      </w:r>
      <w:r w:rsidR="00107B10" w:rsidRPr="002E5B63">
        <w:rPr>
          <w:b/>
          <w:bCs/>
          <w:lang w:val="en-US"/>
        </w:rPr>
        <w:t xml:space="preserve">safeguards for the protection against unfair dismissal and violations of other human rights of those affected by the plan. It also </w:t>
      </w:r>
      <w:r w:rsidRPr="002E5B63">
        <w:rPr>
          <w:b/>
          <w:bCs/>
          <w:lang w:val="en-US"/>
        </w:rPr>
        <w:t xml:space="preserve">requests that the State party provide in its next periodic report information on the </w:t>
      </w:r>
      <w:r w:rsidR="00995786" w:rsidRPr="002E5B63">
        <w:rPr>
          <w:b/>
          <w:bCs/>
          <w:lang w:val="en-US"/>
        </w:rPr>
        <w:t xml:space="preserve">impact </w:t>
      </w:r>
      <w:r w:rsidRPr="002E5B63">
        <w:rPr>
          <w:b/>
          <w:bCs/>
          <w:lang w:val="en-US"/>
        </w:rPr>
        <w:t>of the plan</w:t>
      </w:r>
      <w:r w:rsidR="00A83E6F">
        <w:rPr>
          <w:b/>
          <w:bCs/>
          <w:lang w:val="en-US"/>
        </w:rPr>
        <w:t xml:space="preserve"> on the exercise of the right to work</w:t>
      </w:r>
      <w:r w:rsidRPr="002E5B63">
        <w:rPr>
          <w:b/>
          <w:bCs/>
          <w:lang w:val="en-US"/>
        </w:rPr>
        <w:t xml:space="preserve">. </w:t>
      </w:r>
    </w:p>
    <w:p w:rsidR="007A357A" w:rsidRPr="004552AF" w:rsidRDefault="007A357A" w:rsidP="00727603">
      <w:pPr>
        <w:pStyle w:val="SingleTxtG"/>
        <w:numPr>
          <w:ilvl w:val="0"/>
          <w:numId w:val="19"/>
        </w:numPr>
        <w:tabs>
          <w:tab w:val="clear" w:pos="1637"/>
        </w:tabs>
        <w:ind w:left="1134" w:firstLine="0"/>
        <w:rPr>
          <w:lang w:val="en-US"/>
        </w:rPr>
      </w:pPr>
      <w:r w:rsidRPr="004552AF">
        <w:rPr>
          <w:lang w:val="en-US"/>
        </w:rPr>
        <w:t>The Committee notes with concern that the provisions</w:t>
      </w:r>
      <w:r w:rsidR="00EE3678" w:rsidRPr="004552AF">
        <w:rPr>
          <w:lang w:val="en-US"/>
        </w:rPr>
        <w:t xml:space="preserve"> of article 26 of the 2010 </w:t>
      </w:r>
      <w:proofErr w:type="spellStart"/>
      <w:r w:rsidR="00EE3678" w:rsidRPr="004552AF">
        <w:rPr>
          <w:lang w:val="en-US"/>
        </w:rPr>
        <w:t>Labour</w:t>
      </w:r>
      <w:proofErr w:type="spellEnd"/>
      <w:r w:rsidR="00EE3678" w:rsidRPr="004552AF">
        <w:rPr>
          <w:lang w:val="en-US"/>
        </w:rPr>
        <w:t xml:space="preserve"> Law</w:t>
      </w:r>
      <w:r w:rsidRPr="004552AF">
        <w:rPr>
          <w:lang w:val="en-US"/>
        </w:rPr>
        <w:t xml:space="preserve"> </w:t>
      </w:r>
      <w:r w:rsidR="004974C1">
        <w:rPr>
          <w:lang w:val="en-US"/>
        </w:rPr>
        <w:t>regarding</w:t>
      </w:r>
      <w:r w:rsidRPr="004552AF">
        <w:rPr>
          <w:lang w:val="en-US"/>
        </w:rPr>
        <w:t xml:space="preserve"> equal pay </w:t>
      </w:r>
      <w:r w:rsidR="004974C1">
        <w:rPr>
          <w:lang w:val="en-US"/>
        </w:rPr>
        <w:t>for</w:t>
      </w:r>
      <w:r w:rsidRPr="004552AF">
        <w:rPr>
          <w:lang w:val="en-US"/>
        </w:rPr>
        <w:t xml:space="preserve"> men and women for the same work fall short of the requirement of article 7 of the Covenant. The Committee also notes reports that migrant workers</w:t>
      </w:r>
      <w:r w:rsidR="00E11F2C">
        <w:rPr>
          <w:lang w:val="en-US"/>
        </w:rPr>
        <w:t xml:space="preserve"> often</w:t>
      </w:r>
      <w:r w:rsidRPr="004552AF">
        <w:rPr>
          <w:lang w:val="en-US"/>
        </w:rPr>
        <w:t xml:space="preserve"> receive lower remuneration than nationals for the same position or work (</w:t>
      </w:r>
      <w:r w:rsidR="00067C92">
        <w:rPr>
          <w:lang w:val="en-US"/>
        </w:rPr>
        <w:t>art. </w:t>
      </w:r>
      <w:r w:rsidRPr="004552AF">
        <w:rPr>
          <w:lang w:val="en-US"/>
        </w:rPr>
        <w:t>7)</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The Committee recommends that the State party bring its legislation in</w:t>
      </w:r>
      <w:r w:rsidR="004974C1">
        <w:rPr>
          <w:b/>
          <w:bCs/>
          <w:lang w:val="en-US"/>
        </w:rPr>
        <w:t>to</w:t>
      </w:r>
      <w:r w:rsidRPr="004552AF">
        <w:rPr>
          <w:b/>
          <w:bCs/>
          <w:lang w:val="en-US"/>
        </w:rPr>
        <w:t xml:space="preserve"> line with the provisions of article 7 of the Covenant on</w:t>
      </w:r>
      <w:r w:rsidR="001C6508">
        <w:rPr>
          <w:b/>
          <w:bCs/>
          <w:lang w:val="en-US"/>
        </w:rPr>
        <w:t xml:space="preserve"> the right to</w:t>
      </w:r>
      <w:r w:rsidRPr="004552AF">
        <w:rPr>
          <w:b/>
          <w:bCs/>
          <w:lang w:val="en-US"/>
        </w:rPr>
        <w:t xml:space="preserve"> equal remuneration for work of equal value. The Committee also recommends that the State party put in place the necessary mechanisms to guarantee the exercise of this right without distinction of </w:t>
      </w:r>
      <w:r w:rsidR="0046608D">
        <w:rPr>
          <w:b/>
          <w:bCs/>
          <w:lang w:val="en-US"/>
        </w:rPr>
        <w:t xml:space="preserve">sex, </w:t>
      </w:r>
      <w:r w:rsidRPr="004552AF">
        <w:rPr>
          <w:b/>
          <w:bCs/>
          <w:lang w:val="en-US"/>
        </w:rPr>
        <w:t>race, origin or other status. To that end, the Committee recommends that the State party, among others: (</w:t>
      </w:r>
      <w:r w:rsidR="0046608D">
        <w:rPr>
          <w:b/>
          <w:bCs/>
          <w:lang w:val="en-US"/>
        </w:rPr>
        <w:t>a</w:t>
      </w:r>
      <w:r w:rsidRPr="004552AF">
        <w:rPr>
          <w:b/>
          <w:bCs/>
          <w:lang w:val="en-US"/>
        </w:rPr>
        <w:t xml:space="preserve">) train </w:t>
      </w:r>
      <w:proofErr w:type="spellStart"/>
      <w:r w:rsidRPr="004552AF">
        <w:rPr>
          <w:b/>
          <w:bCs/>
          <w:lang w:val="en-US"/>
        </w:rPr>
        <w:t>labour</w:t>
      </w:r>
      <w:proofErr w:type="spellEnd"/>
      <w:r w:rsidRPr="004552AF">
        <w:rPr>
          <w:b/>
          <w:bCs/>
          <w:lang w:val="en-US"/>
        </w:rPr>
        <w:t xml:space="preserve"> inspectors and employers on the application of the principle of equal pay; (</w:t>
      </w:r>
      <w:r w:rsidR="0046608D">
        <w:rPr>
          <w:b/>
          <w:bCs/>
          <w:lang w:val="en-US"/>
        </w:rPr>
        <w:t>b</w:t>
      </w:r>
      <w:r w:rsidRPr="004552AF">
        <w:rPr>
          <w:b/>
          <w:bCs/>
          <w:lang w:val="en-US"/>
        </w:rPr>
        <w:t>) raise awareness of the illegality of the practice of unequal remuneration</w:t>
      </w:r>
      <w:r w:rsidR="0046608D">
        <w:rPr>
          <w:b/>
          <w:bCs/>
          <w:lang w:val="en-US"/>
        </w:rPr>
        <w:t>; and (c</w:t>
      </w:r>
      <w:r w:rsidR="0046608D" w:rsidRPr="004552AF">
        <w:rPr>
          <w:b/>
          <w:bCs/>
          <w:lang w:val="en-US"/>
        </w:rPr>
        <w:t>) undertake a survey and classification of work considered as being of equal value</w:t>
      </w:r>
      <w:r w:rsidRPr="004552AF">
        <w:rPr>
          <w:b/>
          <w:bCs/>
          <w:lang w:val="en-US"/>
        </w:rPr>
        <w:t>.</w:t>
      </w:r>
    </w:p>
    <w:p w:rsidR="007A357A" w:rsidRPr="004552AF" w:rsidRDefault="00442632" w:rsidP="00EF27D8">
      <w:pPr>
        <w:pStyle w:val="SingleTxtG"/>
        <w:numPr>
          <w:ilvl w:val="0"/>
          <w:numId w:val="19"/>
        </w:numPr>
        <w:tabs>
          <w:tab w:val="clear" w:pos="1637"/>
        </w:tabs>
        <w:ind w:left="1134" w:firstLine="0"/>
        <w:rPr>
          <w:lang w:val="en-US"/>
        </w:rPr>
      </w:pPr>
      <w:r>
        <w:rPr>
          <w:lang w:val="en-US"/>
        </w:rPr>
        <w:t xml:space="preserve">The Committee is concerned that </w:t>
      </w:r>
      <w:r w:rsidR="007A357A" w:rsidRPr="004552AF">
        <w:rPr>
          <w:lang w:val="en-US"/>
        </w:rPr>
        <w:t xml:space="preserve">the minimum wage established by a 2010 decision of the Minister for Social Affairs and </w:t>
      </w:r>
      <w:proofErr w:type="spellStart"/>
      <w:r w:rsidR="007A357A" w:rsidRPr="004552AF">
        <w:rPr>
          <w:lang w:val="en-US"/>
        </w:rPr>
        <w:t>Labour</w:t>
      </w:r>
      <w:proofErr w:type="spellEnd"/>
      <w:r w:rsidR="004974C1">
        <w:rPr>
          <w:lang w:val="en-US"/>
        </w:rPr>
        <w:t>,</w:t>
      </w:r>
      <w:r w:rsidR="007A357A" w:rsidRPr="004552AF">
        <w:rPr>
          <w:lang w:val="en-US"/>
        </w:rPr>
        <w:t xml:space="preserve"> </w:t>
      </w:r>
      <w:r>
        <w:rPr>
          <w:lang w:val="en-US"/>
        </w:rPr>
        <w:t xml:space="preserve">which </w:t>
      </w:r>
      <w:r w:rsidR="007A357A" w:rsidRPr="004552AF">
        <w:rPr>
          <w:lang w:val="en-US"/>
        </w:rPr>
        <w:t xml:space="preserve">is payable to workers in the oil sector, guards and security staff, </w:t>
      </w:r>
      <w:r>
        <w:rPr>
          <w:lang w:val="en-US"/>
        </w:rPr>
        <w:t>may not</w:t>
      </w:r>
      <w:r w:rsidR="007A357A" w:rsidRPr="004552AF">
        <w:rPr>
          <w:lang w:val="en-US"/>
        </w:rPr>
        <w:t xml:space="preserve"> appl</w:t>
      </w:r>
      <w:r>
        <w:rPr>
          <w:lang w:val="en-US"/>
        </w:rPr>
        <w:t>y</w:t>
      </w:r>
      <w:r w:rsidR="007A357A" w:rsidRPr="004552AF">
        <w:rPr>
          <w:lang w:val="en-US"/>
        </w:rPr>
        <w:t xml:space="preserve"> to other sectors of the economy </w:t>
      </w:r>
      <w:r w:rsidR="006E2409" w:rsidRPr="004552AF">
        <w:rPr>
          <w:lang w:val="en-US"/>
        </w:rPr>
        <w:t xml:space="preserve">in </w:t>
      </w:r>
      <w:r w:rsidR="007A357A" w:rsidRPr="004552AF">
        <w:rPr>
          <w:lang w:val="en-US"/>
        </w:rPr>
        <w:t>the private sector</w:t>
      </w:r>
      <w:r w:rsidR="002237BA">
        <w:rPr>
          <w:lang w:val="en-US"/>
        </w:rPr>
        <w:t>, including domestic workers</w:t>
      </w:r>
      <w:r w:rsidR="007A357A" w:rsidRPr="004552AF">
        <w:rPr>
          <w:lang w:val="en-US"/>
        </w:rPr>
        <w:t xml:space="preserve">. Moreover, noting Cabinet Decision </w:t>
      </w:r>
      <w:r w:rsidR="00067C92">
        <w:rPr>
          <w:lang w:val="en-US"/>
        </w:rPr>
        <w:t>No. </w:t>
      </w:r>
      <w:r w:rsidR="007A357A" w:rsidRPr="004552AF">
        <w:rPr>
          <w:lang w:val="en-US"/>
        </w:rPr>
        <w:t xml:space="preserve">623 on expenses borne by employers, the Committee </w:t>
      </w:r>
      <w:r w:rsidR="009E2825" w:rsidRPr="004552AF">
        <w:rPr>
          <w:lang w:val="en-US"/>
        </w:rPr>
        <w:t>is</w:t>
      </w:r>
      <w:r w:rsidR="00CC5437" w:rsidRPr="004552AF">
        <w:rPr>
          <w:lang w:val="en-US"/>
        </w:rPr>
        <w:t xml:space="preserve"> concerned as </w:t>
      </w:r>
      <w:r w:rsidR="009E2825" w:rsidRPr="004552AF">
        <w:rPr>
          <w:lang w:val="en-US"/>
        </w:rPr>
        <w:t xml:space="preserve">to </w:t>
      </w:r>
      <w:r w:rsidR="007A357A" w:rsidRPr="004552AF">
        <w:rPr>
          <w:lang w:val="en-US"/>
        </w:rPr>
        <w:t>whether the minimum wage of KD 60 (approximately US$200)</w:t>
      </w:r>
      <w:r w:rsidR="004974C1">
        <w:rPr>
          <w:lang w:val="en-US"/>
        </w:rPr>
        <w:t xml:space="preserve"> per month</w:t>
      </w:r>
      <w:r w:rsidR="007A357A" w:rsidRPr="004552AF">
        <w:rPr>
          <w:lang w:val="en-US"/>
        </w:rPr>
        <w:t xml:space="preserve"> enables a decent living for the workers and their families (</w:t>
      </w:r>
      <w:r w:rsidR="00067C92">
        <w:rPr>
          <w:lang w:val="en-US"/>
        </w:rPr>
        <w:t>art. </w:t>
      </w:r>
      <w:r w:rsidR="007A357A" w:rsidRPr="004552AF">
        <w:rPr>
          <w:lang w:val="en-US"/>
        </w:rPr>
        <w:t>7)</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 xml:space="preserve">The Committee recommends that the State party ensure that the minimum wage </w:t>
      </w:r>
      <w:r w:rsidR="006E2409" w:rsidRPr="004552AF">
        <w:rPr>
          <w:b/>
          <w:bCs/>
          <w:lang w:val="en-US"/>
        </w:rPr>
        <w:t>in the public and private sector</w:t>
      </w:r>
      <w:r w:rsidRPr="004552AF">
        <w:rPr>
          <w:b/>
          <w:bCs/>
          <w:lang w:val="en-US"/>
        </w:rPr>
        <w:t xml:space="preserve"> provides workers, </w:t>
      </w:r>
      <w:r w:rsidR="006F1401">
        <w:rPr>
          <w:b/>
          <w:bCs/>
          <w:lang w:val="en-US"/>
        </w:rPr>
        <w:t xml:space="preserve">including domestic workers, </w:t>
      </w:r>
      <w:r w:rsidR="004974C1">
        <w:rPr>
          <w:b/>
          <w:bCs/>
          <w:lang w:val="en-US"/>
        </w:rPr>
        <w:t xml:space="preserve">with </w:t>
      </w:r>
      <w:r w:rsidRPr="004552AF">
        <w:rPr>
          <w:b/>
          <w:bCs/>
          <w:lang w:val="en-US"/>
        </w:rPr>
        <w:t>a decent living for themselves and their families, in accordance with article 7 of the Covenant. The Committee requests the State party to include in its next periodic report information on the minimum subsistence level by household size, the minimum wage applied in all sectors</w:t>
      </w:r>
      <w:r w:rsidR="006F1401">
        <w:rPr>
          <w:b/>
          <w:bCs/>
          <w:lang w:val="en-US"/>
        </w:rPr>
        <w:t xml:space="preserve"> of the economy</w:t>
      </w:r>
      <w:r w:rsidRPr="004552AF">
        <w:rPr>
          <w:b/>
          <w:bCs/>
          <w:lang w:val="en-US"/>
        </w:rPr>
        <w:t xml:space="preserve">, and statistical data on the absolute number and </w:t>
      </w:r>
      <w:r w:rsidR="00EE3678" w:rsidRPr="004552AF">
        <w:rPr>
          <w:b/>
          <w:bCs/>
          <w:lang w:val="en-US"/>
        </w:rPr>
        <w:t xml:space="preserve">the </w:t>
      </w:r>
      <w:r w:rsidRPr="004552AF">
        <w:rPr>
          <w:b/>
          <w:bCs/>
          <w:lang w:val="en-US"/>
        </w:rPr>
        <w:t xml:space="preserve">percentage of persons earning the minimum wage, disaggregated by year, age, sex, nationality and other relevant status. </w:t>
      </w:r>
    </w:p>
    <w:p w:rsidR="007A357A" w:rsidRPr="004552AF" w:rsidRDefault="007A357A" w:rsidP="00EF27D8">
      <w:pPr>
        <w:pStyle w:val="SingleTxtG"/>
        <w:numPr>
          <w:ilvl w:val="0"/>
          <w:numId w:val="19"/>
        </w:numPr>
        <w:tabs>
          <w:tab w:val="clear" w:pos="1637"/>
        </w:tabs>
        <w:ind w:left="1134" w:firstLine="0"/>
        <w:rPr>
          <w:lang w:val="en-US"/>
        </w:rPr>
      </w:pPr>
      <w:r w:rsidRPr="004552AF">
        <w:rPr>
          <w:lang w:val="en-US"/>
        </w:rPr>
        <w:t xml:space="preserve">The Committee notes with concern that article 10 of the 2010 </w:t>
      </w:r>
      <w:proofErr w:type="spellStart"/>
      <w:r w:rsidRPr="004552AF">
        <w:rPr>
          <w:lang w:val="en-US"/>
        </w:rPr>
        <w:t>Labour</w:t>
      </w:r>
      <w:proofErr w:type="spellEnd"/>
      <w:r w:rsidRPr="004552AF">
        <w:rPr>
          <w:lang w:val="en-US"/>
        </w:rPr>
        <w:t xml:space="preserve"> Law still refers to sponsorship of foreign worker</w:t>
      </w:r>
      <w:r w:rsidR="007D2C44">
        <w:rPr>
          <w:lang w:val="en-US"/>
        </w:rPr>
        <w:t>s</w:t>
      </w:r>
      <w:r w:rsidRPr="004552AF">
        <w:rPr>
          <w:lang w:val="en-US"/>
        </w:rPr>
        <w:t xml:space="preserve">. The Committee also expresses concern at the persistent reports of violations of the </w:t>
      </w:r>
      <w:proofErr w:type="spellStart"/>
      <w:r w:rsidR="006F1401">
        <w:rPr>
          <w:lang w:val="en-US"/>
        </w:rPr>
        <w:t>labour</w:t>
      </w:r>
      <w:proofErr w:type="spellEnd"/>
      <w:r w:rsidR="006F1401" w:rsidRPr="004552AF">
        <w:rPr>
          <w:lang w:val="en-US"/>
        </w:rPr>
        <w:t xml:space="preserve"> </w:t>
      </w:r>
      <w:r w:rsidRPr="004552AF">
        <w:rPr>
          <w:lang w:val="en-US"/>
        </w:rPr>
        <w:t>rights of migrant workers, such as payment of very low wages, retention of salaries</w:t>
      </w:r>
      <w:r w:rsidR="007D2C44">
        <w:rPr>
          <w:lang w:val="en-US"/>
        </w:rPr>
        <w:t xml:space="preserve"> and</w:t>
      </w:r>
      <w:r w:rsidRPr="004552AF">
        <w:rPr>
          <w:lang w:val="en-US"/>
        </w:rPr>
        <w:t xml:space="preserve"> long working hours, in contravention </w:t>
      </w:r>
      <w:r w:rsidR="007D2C44">
        <w:rPr>
          <w:lang w:val="en-US"/>
        </w:rPr>
        <w:t xml:space="preserve">of </w:t>
      </w:r>
      <w:r w:rsidRPr="004552AF">
        <w:rPr>
          <w:lang w:val="en-US"/>
        </w:rPr>
        <w:t>the State party’s legislation (</w:t>
      </w:r>
      <w:r w:rsidR="00067C92">
        <w:rPr>
          <w:lang w:val="en-US"/>
        </w:rPr>
        <w:t>art. </w:t>
      </w:r>
      <w:r w:rsidRPr="004552AF">
        <w:rPr>
          <w:lang w:val="en-US"/>
        </w:rPr>
        <w:t>7)</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 xml:space="preserve">The Committee recommends that the State party take the necessary legislative measures to abolish the sponsorship system </w:t>
      </w:r>
      <w:r w:rsidR="00CC5437" w:rsidRPr="004552AF">
        <w:rPr>
          <w:b/>
          <w:bCs/>
          <w:lang w:val="en-US"/>
        </w:rPr>
        <w:t xml:space="preserve">altogether </w:t>
      </w:r>
      <w:r w:rsidRPr="004552AF">
        <w:rPr>
          <w:b/>
          <w:bCs/>
          <w:lang w:val="en-US"/>
        </w:rPr>
        <w:t xml:space="preserve">and ensure that the procedure for the recruitment and employment of expatriate </w:t>
      </w:r>
      <w:proofErr w:type="spellStart"/>
      <w:r w:rsidRPr="004552AF">
        <w:rPr>
          <w:b/>
          <w:bCs/>
          <w:lang w:val="en-US"/>
        </w:rPr>
        <w:t>labour</w:t>
      </w:r>
      <w:proofErr w:type="spellEnd"/>
      <w:r w:rsidRPr="004552AF">
        <w:rPr>
          <w:b/>
          <w:bCs/>
          <w:lang w:val="en-US"/>
        </w:rPr>
        <w:t xml:space="preserve"> to be applied by the Public Authority for </w:t>
      </w:r>
      <w:proofErr w:type="spellStart"/>
      <w:r w:rsidRPr="004552AF">
        <w:rPr>
          <w:b/>
          <w:bCs/>
          <w:lang w:val="en-US"/>
        </w:rPr>
        <w:t>Labour</w:t>
      </w:r>
      <w:proofErr w:type="spellEnd"/>
      <w:r w:rsidRPr="004552AF">
        <w:rPr>
          <w:b/>
          <w:bCs/>
          <w:lang w:val="en-US"/>
        </w:rPr>
        <w:t xml:space="preserve"> Force effec</w:t>
      </w:r>
      <w:r w:rsidR="00EE3678" w:rsidRPr="004552AF">
        <w:rPr>
          <w:b/>
          <w:bCs/>
          <w:lang w:val="en-US"/>
        </w:rPr>
        <w:t>tively protect</w:t>
      </w:r>
      <w:r w:rsidR="007D2C44">
        <w:rPr>
          <w:b/>
          <w:bCs/>
          <w:lang w:val="en-US"/>
        </w:rPr>
        <w:t>s</w:t>
      </w:r>
      <w:r w:rsidR="00EE3678" w:rsidRPr="004552AF">
        <w:rPr>
          <w:b/>
          <w:bCs/>
          <w:lang w:val="en-US"/>
        </w:rPr>
        <w:t xml:space="preserve"> migrant workers against</w:t>
      </w:r>
      <w:r w:rsidRPr="004552AF">
        <w:rPr>
          <w:b/>
          <w:bCs/>
          <w:lang w:val="en-US"/>
        </w:rPr>
        <w:t xml:space="preserve"> abuse and exploitation. The Committee also recommends that the State party increase the capacity of the </w:t>
      </w:r>
      <w:proofErr w:type="spellStart"/>
      <w:r w:rsidRPr="004552AF">
        <w:rPr>
          <w:b/>
          <w:bCs/>
          <w:lang w:val="en-US"/>
        </w:rPr>
        <w:t>labour</w:t>
      </w:r>
      <w:proofErr w:type="spellEnd"/>
      <w:r w:rsidRPr="004552AF">
        <w:rPr>
          <w:b/>
          <w:bCs/>
          <w:lang w:val="en-US"/>
        </w:rPr>
        <w:t xml:space="preserve"> inspectorate </w:t>
      </w:r>
      <w:r w:rsidR="006F1401">
        <w:rPr>
          <w:b/>
          <w:bCs/>
          <w:lang w:val="en-US"/>
        </w:rPr>
        <w:t>to</w:t>
      </w:r>
      <w:r w:rsidRPr="004552AF">
        <w:rPr>
          <w:b/>
          <w:bCs/>
          <w:lang w:val="en-US"/>
        </w:rPr>
        <w:t xml:space="preserve"> monitor working conditions in local companies on a regular basis and ensure that sanctions for violations of work</w:t>
      </w:r>
      <w:r w:rsidR="006F1401">
        <w:rPr>
          <w:b/>
          <w:bCs/>
          <w:lang w:val="en-US"/>
        </w:rPr>
        <w:t>ers’</w:t>
      </w:r>
      <w:r w:rsidRPr="004552AF">
        <w:rPr>
          <w:b/>
          <w:bCs/>
          <w:lang w:val="en-US"/>
        </w:rPr>
        <w:t xml:space="preserve"> rights </w:t>
      </w:r>
      <w:r w:rsidR="00E62AC9" w:rsidRPr="004552AF">
        <w:rPr>
          <w:b/>
          <w:bCs/>
          <w:lang w:val="en-US"/>
        </w:rPr>
        <w:t>be effectively implemented</w:t>
      </w:r>
      <w:r w:rsidRPr="004552AF">
        <w:rPr>
          <w:b/>
          <w:bCs/>
          <w:lang w:val="en-US"/>
        </w:rPr>
        <w:t xml:space="preserve">. </w:t>
      </w:r>
      <w:r w:rsidR="001C6508">
        <w:rPr>
          <w:b/>
          <w:bCs/>
          <w:lang w:val="en-US"/>
        </w:rPr>
        <w:t>Moreover, t</w:t>
      </w:r>
      <w:r w:rsidRPr="004552AF">
        <w:rPr>
          <w:b/>
          <w:bCs/>
          <w:lang w:val="en-US"/>
        </w:rPr>
        <w:t xml:space="preserve">he </w:t>
      </w:r>
      <w:r w:rsidR="00E62AC9" w:rsidRPr="004552AF">
        <w:rPr>
          <w:b/>
          <w:bCs/>
          <w:lang w:val="en-US"/>
        </w:rPr>
        <w:t xml:space="preserve">Committee </w:t>
      </w:r>
      <w:r w:rsidRPr="004552AF">
        <w:rPr>
          <w:b/>
          <w:bCs/>
          <w:lang w:val="en-US"/>
        </w:rPr>
        <w:t>recommends that the State party accede to the International Convention on the Protection of the Rights of all Migrant Workers</w:t>
      </w:r>
      <w:r w:rsidR="00EE3678" w:rsidRPr="004552AF">
        <w:rPr>
          <w:b/>
          <w:bCs/>
          <w:lang w:val="en-US"/>
        </w:rPr>
        <w:t xml:space="preserve"> and Members of </w:t>
      </w:r>
      <w:r w:rsidR="007D2C44">
        <w:rPr>
          <w:b/>
          <w:bCs/>
          <w:lang w:val="en-US"/>
        </w:rPr>
        <w:t>T</w:t>
      </w:r>
      <w:r w:rsidR="00EE3678" w:rsidRPr="004552AF">
        <w:rPr>
          <w:b/>
          <w:bCs/>
          <w:lang w:val="en-US"/>
        </w:rPr>
        <w:t>heir Families.</w:t>
      </w:r>
    </w:p>
    <w:p w:rsidR="007A357A" w:rsidRPr="004552AF" w:rsidRDefault="00F47588" w:rsidP="00EF27D8">
      <w:pPr>
        <w:pStyle w:val="SingleTxtG"/>
        <w:numPr>
          <w:ilvl w:val="0"/>
          <w:numId w:val="19"/>
        </w:numPr>
        <w:tabs>
          <w:tab w:val="clear" w:pos="1637"/>
        </w:tabs>
        <w:ind w:left="1134" w:firstLine="0"/>
        <w:rPr>
          <w:lang w:val="en-US"/>
        </w:rPr>
      </w:pPr>
      <w:r w:rsidRPr="004552AF">
        <w:rPr>
          <w:lang w:val="en-US"/>
        </w:rPr>
        <w:t>T</w:t>
      </w:r>
      <w:r w:rsidR="007A357A" w:rsidRPr="004552AF">
        <w:rPr>
          <w:lang w:val="en-US"/>
        </w:rPr>
        <w:t xml:space="preserve">he Committee expresses concern at the absence of a comprehensive regulation </w:t>
      </w:r>
      <w:r w:rsidR="00E62AC9" w:rsidRPr="004552AF">
        <w:rPr>
          <w:lang w:val="en-US"/>
        </w:rPr>
        <w:t>that fully protect</w:t>
      </w:r>
      <w:r w:rsidR="001C6508">
        <w:rPr>
          <w:lang w:val="en-US"/>
        </w:rPr>
        <w:t>s</w:t>
      </w:r>
      <w:r w:rsidR="00E62AC9" w:rsidRPr="004552AF">
        <w:rPr>
          <w:lang w:val="en-US"/>
        </w:rPr>
        <w:t xml:space="preserve"> the rights </w:t>
      </w:r>
      <w:r w:rsidR="007A357A" w:rsidRPr="004552AF">
        <w:rPr>
          <w:lang w:val="en-US"/>
        </w:rPr>
        <w:t>of domestic work</w:t>
      </w:r>
      <w:r w:rsidR="0046608D">
        <w:rPr>
          <w:lang w:val="en-US"/>
        </w:rPr>
        <w:t>ers as</w:t>
      </w:r>
      <w:r w:rsidRPr="004552AF">
        <w:rPr>
          <w:lang w:val="en-US"/>
        </w:rPr>
        <w:t xml:space="preserve"> Law </w:t>
      </w:r>
      <w:r w:rsidR="00067C92">
        <w:rPr>
          <w:lang w:val="en-US"/>
        </w:rPr>
        <w:t>No. </w:t>
      </w:r>
      <w:r w:rsidRPr="004552AF">
        <w:rPr>
          <w:lang w:val="en-US"/>
        </w:rPr>
        <w:t xml:space="preserve">40 of 1992 </w:t>
      </w:r>
      <w:r w:rsidR="0046608D">
        <w:rPr>
          <w:lang w:val="en-US"/>
        </w:rPr>
        <w:t>only</w:t>
      </w:r>
      <w:r w:rsidR="0046608D" w:rsidRPr="004552AF">
        <w:rPr>
          <w:lang w:val="en-US"/>
        </w:rPr>
        <w:t xml:space="preserve"> </w:t>
      </w:r>
      <w:r w:rsidRPr="004552AF">
        <w:rPr>
          <w:lang w:val="en-US"/>
        </w:rPr>
        <w:t>regulates</w:t>
      </w:r>
      <w:r w:rsidRPr="004552AF">
        <w:rPr>
          <w:b/>
          <w:lang w:val="en-US"/>
        </w:rPr>
        <w:t xml:space="preserve"> </w:t>
      </w:r>
      <w:r w:rsidRPr="004552AF">
        <w:rPr>
          <w:lang w:val="en-US"/>
        </w:rPr>
        <w:t>agencies recruiting domestic workers</w:t>
      </w:r>
      <w:r w:rsidR="007A357A" w:rsidRPr="004552AF">
        <w:rPr>
          <w:lang w:val="en-US"/>
        </w:rPr>
        <w:t>. The Committee also notes with concern reports of abuse and exploitation of domestic workers</w:t>
      </w:r>
      <w:r w:rsidR="00E62AC9" w:rsidRPr="004552AF">
        <w:rPr>
          <w:lang w:val="en-US"/>
        </w:rPr>
        <w:t xml:space="preserve"> by agencies and employers alike</w:t>
      </w:r>
      <w:r w:rsidR="007A357A" w:rsidRPr="004552AF">
        <w:rPr>
          <w:lang w:val="en-US"/>
        </w:rPr>
        <w:t xml:space="preserve"> (</w:t>
      </w:r>
      <w:r w:rsidR="00067C92">
        <w:rPr>
          <w:lang w:val="en-US"/>
        </w:rPr>
        <w:t>art. </w:t>
      </w:r>
      <w:r w:rsidR="007A357A" w:rsidRPr="004552AF">
        <w:rPr>
          <w:lang w:val="en-US"/>
        </w:rPr>
        <w:t>7)</w:t>
      </w:r>
      <w:r w:rsidR="00727603">
        <w:rPr>
          <w:lang w:val="en-US"/>
        </w:rPr>
        <w:t>.</w:t>
      </w:r>
    </w:p>
    <w:p w:rsidR="007A357A" w:rsidRPr="004552AF" w:rsidRDefault="00762DD0" w:rsidP="007A357A">
      <w:pPr>
        <w:pStyle w:val="SingleTxtG"/>
        <w:tabs>
          <w:tab w:val="left" w:pos="1701"/>
        </w:tabs>
        <w:rPr>
          <w:b/>
          <w:bCs/>
          <w:lang w:val="en-US"/>
        </w:rPr>
      </w:pPr>
      <w:r w:rsidRPr="004552AF">
        <w:rPr>
          <w:b/>
          <w:bCs/>
          <w:lang w:val="en-US"/>
        </w:rPr>
        <w:t>Considering</w:t>
      </w:r>
      <w:r w:rsidR="009E2825" w:rsidRPr="004552AF">
        <w:rPr>
          <w:b/>
          <w:bCs/>
          <w:lang w:val="en-US"/>
        </w:rPr>
        <w:t xml:space="preserve"> </w:t>
      </w:r>
      <w:r w:rsidR="00F47588" w:rsidRPr="004552AF">
        <w:rPr>
          <w:b/>
          <w:bCs/>
          <w:lang w:val="en-US"/>
        </w:rPr>
        <w:t xml:space="preserve">that according to </w:t>
      </w:r>
      <w:r w:rsidR="007A357A" w:rsidRPr="004552AF">
        <w:rPr>
          <w:b/>
          <w:bCs/>
          <w:lang w:val="en-US"/>
        </w:rPr>
        <w:t xml:space="preserve">article 5 of the 2010 </w:t>
      </w:r>
      <w:proofErr w:type="spellStart"/>
      <w:r w:rsidR="007A357A" w:rsidRPr="004552AF">
        <w:rPr>
          <w:b/>
          <w:bCs/>
          <w:lang w:val="en-US"/>
        </w:rPr>
        <w:t>Labour</w:t>
      </w:r>
      <w:proofErr w:type="spellEnd"/>
      <w:r w:rsidR="007A357A" w:rsidRPr="004552AF">
        <w:rPr>
          <w:b/>
          <w:bCs/>
          <w:lang w:val="en-US"/>
        </w:rPr>
        <w:t xml:space="preserve"> Law</w:t>
      </w:r>
      <w:r w:rsidR="006E2409" w:rsidRPr="004552AF">
        <w:rPr>
          <w:b/>
          <w:bCs/>
          <w:lang w:val="en-US"/>
        </w:rPr>
        <w:t>,</w:t>
      </w:r>
      <w:r w:rsidR="004B4984" w:rsidRPr="004552AF">
        <w:rPr>
          <w:b/>
          <w:bCs/>
          <w:lang w:val="en-US"/>
        </w:rPr>
        <w:t xml:space="preserve"> </w:t>
      </w:r>
      <w:r w:rsidRPr="004552AF">
        <w:rPr>
          <w:b/>
        </w:rPr>
        <w:t xml:space="preserve">a decision shall be issued by the competent minister </w:t>
      </w:r>
      <w:r w:rsidR="006F1401">
        <w:rPr>
          <w:b/>
        </w:rPr>
        <w:t>concerning</w:t>
      </w:r>
      <w:r w:rsidRPr="004552AF">
        <w:rPr>
          <w:b/>
        </w:rPr>
        <w:t xml:space="preserve"> the rules governing the relationship between </w:t>
      </w:r>
      <w:r w:rsidR="004B4984" w:rsidRPr="004552AF">
        <w:rPr>
          <w:b/>
        </w:rPr>
        <w:t xml:space="preserve">domestic workers </w:t>
      </w:r>
      <w:r w:rsidRPr="004552AF">
        <w:rPr>
          <w:b/>
        </w:rPr>
        <w:t>and their employers,</w:t>
      </w:r>
      <w:r w:rsidRPr="004552AF">
        <w:rPr>
          <w:b/>
          <w:bCs/>
          <w:lang w:val="en-US"/>
        </w:rPr>
        <w:t xml:space="preserve"> </w:t>
      </w:r>
      <w:r w:rsidR="007A357A" w:rsidRPr="004552AF">
        <w:rPr>
          <w:b/>
          <w:bCs/>
          <w:lang w:val="en-US"/>
        </w:rPr>
        <w:t>the Committee recommends that the State party regulate domestic work through a law rather than a ministerial decision</w:t>
      </w:r>
      <w:r w:rsidR="001C6508">
        <w:rPr>
          <w:b/>
          <w:bCs/>
          <w:lang w:val="en-US"/>
        </w:rPr>
        <w:t>,</w:t>
      </w:r>
      <w:r w:rsidR="007A357A" w:rsidRPr="004552AF">
        <w:rPr>
          <w:b/>
          <w:bCs/>
          <w:lang w:val="en-US"/>
        </w:rPr>
        <w:t xml:space="preserve"> </w:t>
      </w:r>
      <w:r w:rsidR="006C7CA2">
        <w:rPr>
          <w:b/>
          <w:bCs/>
          <w:lang w:val="en-US"/>
        </w:rPr>
        <w:t>and ensure</w:t>
      </w:r>
      <w:r w:rsidR="001C6508">
        <w:rPr>
          <w:b/>
          <w:bCs/>
          <w:lang w:val="en-US"/>
        </w:rPr>
        <w:t xml:space="preserve"> that its legislation</w:t>
      </w:r>
      <w:r w:rsidR="006C7CA2">
        <w:rPr>
          <w:b/>
          <w:bCs/>
          <w:lang w:val="en-US"/>
        </w:rPr>
        <w:t xml:space="preserve"> and regulations</w:t>
      </w:r>
      <w:r w:rsidR="00E95170" w:rsidRPr="004552AF">
        <w:rPr>
          <w:b/>
          <w:bCs/>
          <w:lang w:val="en-US"/>
        </w:rPr>
        <w:t>:</w:t>
      </w:r>
    </w:p>
    <w:p w:rsidR="007A357A" w:rsidRPr="004552AF" w:rsidRDefault="00067C92" w:rsidP="00406C30">
      <w:pPr>
        <w:pStyle w:val="SingleTxtG"/>
        <w:numPr>
          <w:ilvl w:val="0"/>
          <w:numId w:val="24"/>
        </w:numPr>
        <w:tabs>
          <w:tab w:val="clear" w:pos="1494"/>
          <w:tab w:val="left" w:pos="-1701"/>
        </w:tabs>
        <w:ind w:left="1134" w:firstLine="567"/>
        <w:rPr>
          <w:b/>
          <w:bCs/>
          <w:lang w:val="en-US"/>
        </w:rPr>
      </w:pPr>
      <w:r>
        <w:rPr>
          <w:b/>
          <w:bCs/>
          <w:lang w:val="en-US"/>
        </w:rPr>
        <w:t>G</w:t>
      </w:r>
      <w:r w:rsidR="00E95170" w:rsidRPr="004552AF">
        <w:rPr>
          <w:b/>
          <w:bCs/>
          <w:lang w:val="en-US"/>
        </w:rPr>
        <w:t>uarant</w:t>
      </w:r>
      <w:r w:rsidR="009E2825" w:rsidRPr="004552AF">
        <w:rPr>
          <w:b/>
          <w:bCs/>
          <w:lang w:val="en-US"/>
        </w:rPr>
        <w:t>ee</w:t>
      </w:r>
      <w:r w:rsidR="00E95170" w:rsidRPr="004552AF">
        <w:rPr>
          <w:b/>
          <w:bCs/>
          <w:lang w:val="en-US"/>
        </w:rPr>
        <w:t xml:space="preserve"> </w:t>
      </w:r>
      <w:r w:rsidR="007A357A" w:rsidRPr="004552AF">
        <w:rPr>
          <w:b/>
          <w:bCs/>
          <w:lang w:val="en-US"/>
        </w:rPr>
        <w:t xml:space="preserve">domestic workers the same conditions as other workers covered by the 2010 </w:t>
      </w:r>
      <w:proofErr w:type="spellStart"/>
      <w:r w:rsidR="007A357A" w:rsidRPr="004552AF">
        <w:rPr>
          <w:b/>
          <w:bCs/>
          <w:lang w:val="en-US"/>
        </w:rPr>
        <w:t>Labour</w:t>
      </w:r>
      <w:proofErr w:type="spellEnd"/>
      <w:r w:rsidR="007A357A" w:rsidRPr="004552AF">
        <w:rPr>
          <w:b/>
          <w:bCs/>
          <w:lang w:val="en-US"/>
        </w:rPr>
        <w:t xml:space="preserve"> Law as regards remuneration for work of equal value, protection against unfair dismissal, occupational health and safety, rest</w:t>
      </w:r>
      <w:r w:rsidR="007D2C44">
        <w:rPr>
          <w:b/>
          <w:bCs/>
          <w:lang w:val="en-US"/>
        </w:rPr>
        <w:t xml:space="preserve"> and</w:t>
      </w:r>
      <w:r w:rsidR="007A357A" w:rsidRPr="004552AF">
        <w:rPr>
          <w:b/>
          <w:bCs/>
          <w:lang w:val="en-US"/>
        </w:rPr>
        <w:t xml:space="preserve"> leisure</w:t>
      </w:r>
      <w:r w:rsidR="007D2C44">
        <w:rPr>
          <w:b/>
          <w:bCs/>
          <w:lang w:val="en-US"/>
        </w:rPr>
        <w:t>,</w:t>
      </w:r>
      <w:r w:rsidR="007A357A" w:rsidRPr="004552AF">
        <w:rPr>
          <w:b/>
          <w:bCs/>
          <w:lang w:val="en-US"/>
        </w:rPr>
        <w:t xml:space="preserve"> limitation of working hours, social security, housing and change of employer;</w:t>
      </w:r>
    </w:p>
    <w:p w:rsidR="0046608D" w:rsidRPr="004552AF" w:rsidRDefault="00067C92" w:rsidP="00406C30">
      <w:pPr>
        <w:pStyle w:val="SingleTxtG"/>
        <w:numPr>
          <w:ilvl w:val="0"/>
          <w:numId w:val="24"/>
        </w:numPr>
        <w:tabs>
          <w:tab w:val="clear" w:pos="1494"/>
          <w:tab w:val="left" w:pos="-1701"/>
        </w:tabs>
        <w:ind w:left="1134" w:firstLine="567"/>
        <w:rPr>
          <w:b/>
          <w:bCs/>
          <w:lang w:val="en-US"/>
        </w:rPr>
      </w:pPr>
      <w:r>
        <w:rPr>
          <w:b/>
          <w:bCs/>
          <w:lang w:val="en-US"/>
        </w:rPr>
        <w:t>P</w:t>
      </w:r>
      <w:r w:rsidR="0046608D" w:rsidRPr="004552AF">
        <w:rPr>
          <w:b/>
          <w:bCs/>
          <w:lang w:val="en-US"/>
        </w:rPr>
        <w:t xml:space="preserve">ay particular attention to conditions that render domestic workers vulnerable to compulsory </w:t>
      </w:r>
      <w:proofErr w:type="spellStart"/>
      <w:r w:rsidR="0046608D" w:rsidRPr="004552AF">
        <w:rPr>
          <w:b/>
          <w:bCs/>
          <w:lang w:val="en-US"/>
        </w:rPr>
        <w:t>labour</w:t>
      </w:r>
      <w:proofErr w:type="spellEnd"/>
      <w:r w:rsidR="0046608D">
        <w:rPr>
          <w:b/>
          <w:bCs/>
          <w:lang w:val="en-US"/>
        </w:rPr>
        <w:t xml:space="preserve"> and sexual assault;</w:t>
      </w:r>
    </w:p>
    <w:p w:rsidR="007A357A" w:rsidRPr="004552AF" w:rsidRDefault="00067C92" w:rsidP="00406C30">
      <w:pPr>
        <w:pStyle w:val="SingleTxtG"/>
        <w:numPr>
          <w:ilvl w:val="0"/>
          <w:numId w:val="24"/>
        </w:numPr>
        <w:tabs>
          <w:tab w:val="clear" w:pos="1494"/>
          <w:tab w:val="left" w:pos="-1701"/>
        </w:tabs>
        <w:ind w:left="1134" w:firstLine="567"/>
        <w:rPr>
          <w:b/>
          <w:bCs/>
          <w:lang w:val="en-US"/>
        </w:rPr>
      </w:pPr>
      <w:r>
        <w:rPr>
          <w:b/>
          <w:bCs/>
          <w:lang w:val="en-US"/>
        </w:rPr>
        <w:t>P</w:t>
      </w:r>
      <w:r w:rsidR="007A357A" w:rsidRPr="004552AF">
        <w:rPr>
          <w:b/>
          <w:bCs/>
          <w:lang w:val="en-US"/>
        </w:rPr>
        <w:t xml:space="preserve">rovide </w:t>
      </w:r>
      <w:r w:rsidR="00E95170" w:rsidRPr="004552AF">
        <w:rPr>
          <w:b/>
          <w:bCs/>
          <w:lang w:val="en-US"/>
        </w:rPr>
        <w:t xml:space="preserve">effective </w:t>
      </w:r>
      <w:r w:rsidR="007A357A" w:rsidRPr="004552AF">
        <w:rPr>
          <w:b/>
          <w:bCs/>
          <w:lang w:val="en-US"/>
        </w:rPr>
        <w:t xml:space="preserve">mechanisms for reporting abuse and exploitation </w:t>
      </w:r>
      <w:r w:rsidR="00E95170" w:rsidRPr="004552AF">
        <w:rPr>
          <w:b/>
          <w:bCs/>
          <w:lang w:val="en-US"/>
        </w:rPr>
        <w:t>due to</w:t>
      </w:r>
      <w:r w:rsidR="007A357A" w:rsidRPr="004552AF">
        <w:rPr>
          <w:b/>
          <w:bCs/>
          <w:lang w:val="en-US"/>
        </w:rPr>
        <w:t xml:space="preserve"> the difficulty for some domestic workers to access</w:t>
      </w:r>
      <w:r>
        <w:rPr>
          <w:b/>
          <w:bCs/>
          <w:lang w:val="en-US"/>
        </w:rPr>
        <w:t xml:space="preserve"> </w:t>
      </w:r>
      <w:r w:rsidR="007A357A" w:rsidRPr="004552AF">
        <w:rPr>
          <w:b/>
          <w:bCs/>
          <w:lang w:val="en-US"/>
        </w:rPr>
        <w:t>telecommunication means;</w:t>
      </w:r>
      <w:r w:rsidR="00857188">
        <w:rPr>
          <w:b/>
          <w:bCs/>
          <w:lang w:val="en-US"/>
        </w:rPr>
        <w:t xml:space="preserve"> and</w:t>
      </w:r>
    </w:p>
    <w:p w:rsidR="007A357A" w:rsidRPr="004552AF" w:rsidRDefault="00067C92" w:rsidP="00406C30">
      <w:pPr>
        <w:pStyle w:val="SingleTxtG"/>
        <w:numPr>
          <w:ilvl w:val="0"/>
          <w:numId w:val="24"/>
        </w:numPr>
        <w:tabs>
          <w:tab w:val="clear" w:pos="1494"/>
          <w:tab w:val="left" w:pos="-1701"/>
        </w:tabs>
        <w:ind w:left="1134" w:firstLine="567"/>
        <w:rPr>
          <w:b/>
          <w:bCs/>
          <w:lang w:val="en-US"/>
        </w:rPr>
      </w:pPr>
      <w:r w:rsidRPr="004552AF">
        <w:rPr>
          <w:b/>
          <w:bCs/>
          <w:lang w:val="en-US"/>
        </w:rPr>
        <w:t>Establish</w:t>
      </w:r>
      <w:r w:rsidR="007A357A" w:rsidRPr="004552AF">
        <w:rPr>
          <w:b/>
          <w:bCs/>
          <w:lang w:val="en-US"/>
        </w:rPr>
        <w:t xml:space="preserve"> an inspection mechanism for monitoring the conditions of work of domestic workers</w:t>
      </w:r>
      <w:r w:rsidR="0046608D">
        <w:rPr>
          <w:b/>
          <w:bCs/>
          <w:lang w:val="en-US"/>
        </w:rPr>
        <w:t>.</w:t>
      </w:r>
    </w:p>
    <w:p w:rsidR="007A357A" w:rsidRPr="004552AF" w:rsidRDefault="007A357A" w:rsidP="007A357A">
      <w:pPr>
        <w:pStyle w:val="SingleTxtG"/>
        <w:tabs>
          <w:tab w:val="left" w:pos="1701"/>
        </w:tabs>
        <w:rPr>
          <w:b/>
          <w:bCs/>
          <w:lang w:val="en-US"/>
        </w:rPr>
      </w:pPr>
      <w:r w:rsidRPr="004552AF">
        <w:rPr>
          <w:b/>
          <w:bCs/>
          <w:lang w:val="en-US"/>
        </w:rPr>
        <w:t xml:space="preserve">The Committee also recommends that the State party raise awareness among </w:t>
      </w:r>
      <w:r w:rsidR="00E95170" w:rsidRPr="004552AF">
        <w:rPr>
          <w:b/>
          <w:bCs/>
          <w:lang w:val="en-US"/>
        </w:rPr>
        <w:t xml:space="preserve">employers and </w:t>
      </w:r>
      <w:r w:rsidRPr="004552AF">
        <w:rPr>
          <w:b/>
          <w:bCs/>
          <w:lang w:val="en-US"/>
        </w:rPr>
        <w:t>the population</w:t>
      </w:r>
      <w:r w:rsidR="00E95170" w:rsidRPr="004552AF">
        <w:rPr>
          <w:b/>
          <w:bCs/>
          <w:lang w:val="en-US"/>
        </w:rPr>
        <w:t xml:space="preserve"> in general</w:t>
      </w:r>
      <w:r w:rsidRPr="004552AF">
        <w:rPr>
          <w:b/>
          <w:bCs/>
          <w:lang w:val="en-US"/>
        </w:rPr>
        <w:t xml:space="preserve"> of the need to respect the human rights of domestic workers</w:t>
      </w:r>
      <w:r w:rsidR="004B4984" w:rsidRPr="004552AF">
        <w:rPr>
          <w:b/>
          <w:bCs/>
          <w:lang w:val="en-US"/>
        </w:rPr>
        <w:t>.</w:t>
      </w:r>
      <w:r w:rsidRPr="004552AF">
        <w:rPr>
          <w:b/>
          <w:bCs/>
          <w:lang w:val="en-US"/>
        </w:rPr>
        <w:t xml:space="preserve"> The Committee recommends that the State party accede to ILO Domestic Workers Convention</w:t>
      </w:r>
      <w:r w:rsidR="00287B29">
        <w:rPr>
          <w:b/>
          <w:bCs/>
          <w:lang w:val="en-US"/>
        </w:rPr>
        <w:t>, 2011 (</w:t>
      </w:r>
      <w:r w:rsidR="00067C92">
        <w:rPr>
          <w:b/>
          <w:bCs/>
          <w:lang w:val="en-US"/>
        </w:rPr>
        <w:t>No. </w:t>
      </w:r>
      <w:r w:rsidRPr="004552AF">
        <w:rPr>
          <w:b/>
          <w:bCs/>
          <w:lang w:val="en-US"/>
        </w:rPr>
        <w:t>189</w:t>
      </w:r>
      <w:r w:rsidR="00287B29">
        <w:rPr>
          <w:b/>
          <w:bCs/>
          <w:lang w:val="en-US"/>
        </w:rPr>
        <w:t>)</w:t>
      </w:r>
      <w:r w:rsidRPr="004552AF">
        <w:rPr>
          <w:b/>
          <w:bCs/>
          <w:lang w:val="en-US"/>
        </w:rPr>
        <w:t>.</w:t>
      </w:r>
    </w:p>
    <w:p w:rsidR="007A357A" w:rsidRPr="004552AF" w:rsidRDefault="008C7B6F" w:rsidP="00EF27D8">
      <w:pPr>
        <w:pStyle w:val="SingleTxtG"/>
        <w:numPr>
          <w:ilvl w:val="0"/>
          <w:numId w:val="19"/>
        </w:numPr>
        <w:tabs>
          <w:tab w:val="clear" w:pos="1637"/>
        </w:tabs>
        <w:ind w:left="1134" w:firstLine="0"/>
        <w:rPr>
          <w:lang w:val="en-US"/>
        </w:rPr>
      </w:pPr>
      <w:r w:rsidRPr="004552AF">
        <w:rPr>
          <w:lang w:val="en-US"/>
        </w:rPr>
        <w:t xml:space="preserve">In spite </w:t>
      </w:r>
      <w:r w:rsidR="001C6508">
        <w:rPr>
          <w:lang w:val="en-US"/>
        </w:rPr>
        <w:t xml:space="preserve">of the fact </w:t>
      </w:r>
      <w:r w:rsidR="007A357A" w:rsidRPr="004552AF">
        <w:rPr>
          <w:lang w:val="en-US"/>
        </w:rPr>
        <w:t xml:space="preserve">that general security and safety regulations in the oil sector in the State party have been established in conformity with international standards, the Committee regrets that </w:t>
      </w:r>
      <w:r w:rsidR="006F1401">
        <w:rPr>
          <w:lang w:val="en-US"/>
        </w:rPr>
        <w:t>regulations</w:t>
      </w:r>
      <w:r w:rsidR="006F1401" w:rsidRPr="004552AF">
        <w:rPr>
          <w:lang w:val="en-US"/>
        </w:rPr>
        <w:t xml:space="preserve"> </w:t>
      </w:r>
      <w:r w:rsidR="007A357A" w:rsidRPr="004552AF">
        <w:rPr>
          <w:lang w:val="en-US"/>
        </w:rPr>
        <w:t xml:space="preserve">applicable in the construction sector </w:t>
      </w:r>
      <w:r w:rsidR="006F1401">
        <w:rPr>
          <w:lang w:val="en-US"/>
        </w:rPr>
        <w:t>still lack</w:t>
      </w:r>
      <w:r w:rsidR="007A357A" w:rsidRPr="004552AF">
        <w:rPr>
          <w:lang w:val="en-US"/>
        </w:rPr>
        <w:t xml:space="preserve"> conformity with international norms and standards (</w:t>
      </w:r>
      <w:r w:rsidR="00067C92">
        <w:rPr>
          <w:lang w:val="en-US"/>
        </w:rPr>
        <w:t>art. </w:t>
      </w:r>
      <w:r w:rsidR="007A357A" w:rsidRPr="004552AF">
        <w:rPr>
          <w:lang w:val="en-US"/>
        </w:rPr>
        <w:t>7)</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 xml:space="preserve">The Committee recommends that the State party ensure that occupational health and safety regulations </w:t>
      </w:r>
      <w:r w:rsidR="00EE3678" w:rsidRPr="004552AF">
        <w:rPr>
          <w:b/>
          <w:bCs/>
          <w:lang w:val="en-US"/>
        </w:rPr>
        <w:t>in the</w:t>
      </w:r>
      <w:r w:rsidRPr="004552AF">
        <w:rPr>
          <w:b/>
          <w:bCs/>
          <w:lang w:val="en-US"/>
        </w:rPr>
        <w:t xml:space="preserve"> construction industry are </w:t>
      </w:r>
      <w:r w:rsidR="006F1401">
        <w:rPr>
          <w:b/>
          <w:bCs/>
          <w:lang w:val="en-US"/>
        </w:rPr>
        <w:t>consistent</w:t>
      </w:r>
      <w:r w:rsidRPr="004552AF">
        <w:rPr>
          <w:b/>
          <w:bCs/>
          <w:lang w:val="en-US"/>
        </w:rPr>
        <w:t xml:space="preserve"> with international norms and regulations so that</w:t>
      </w:r>
      <w:r w:rsidR="0046608D">
        <w:rPr>
          <w:b/>
          <w:bCs/>
          <w:lang w:val="en-US"/>
        </w:rPr>
        <w:t xml:space="preserve"> construction</w:t>
      </w:r>
      <w:r w:rsidRPr="004552AF">
        <w:rPr>
          <w:b/>
          <w:bCs/>
          <w:lang w:val="en-US"/>
        </w:rPr>
        <w:t xml:space="preserve"> workers enjoy their right</w:t>
      </w:r>
      <w:r w:rsidR="006F1401">
        <w:rPr>
          <w:b/>
          <w:bCs/>
          <w:lang w:val="en-US"/>
        </w:rPr>
        <w:t>s</w:t>
      </w:r>
      <w:r w:rsidRPr="004552AF">
        <w:rPr>
          <w:b/>
          <w:bCs/>
          <w:lang w:val="en-US"/>
        </w:rPr>
        <w:t xml:space="preserve"> under article 7 of the Covenant.</w:t>
      </w:r>
      <w:r w:rsidR="00287B29">
        <w:rPr>
          <w:b/>
          <w:bCs/>
          <w:lang w:val="en-US"/>
        </w:rPr>
        <w:t xml:space="preserve"> </w:t>
      </w:r>
      <w:r w:rsidRPr="004552AF">
        <w:rPr>
          <w:b/>
          <w:bCs/>
          <w:lang w:val="en-US"/>
        </w:rPr>
        <w:t xml:space="preserve">The Committee requests that the State party provide in its next periodic report statistical data </w:t>
      </w:r>
      <w:r w:rsidR="001C6508" w:rsidRPr="004552AF">
        <w:rPr>
          <w:b/>
          <w:bCs/>
          <w:lang w:val="en-US"/>
        </w:rPr>
        <w:t xml:space="preserve">on </w:t>
      </w:r>
      <w:r w:rsidR="00287B29">
        <w:rPr>
          <w:b/>
          <w:bCs/>
          <w:lang w:val="en-US"/>
        </w:rPr>
        <w:t xml:space="preserve">the </w:t>
      </w:r>
      <w:r w:rsidR="001C6508" w:rsidRPr="004552AF">
        <w:rPr>
          <w:b/>
          <w:bCs/>
          <w:lang w:val="en-US"/>
        </w:rPr>
        <w:t xml:space="preserve">inspection of construction sites </w:t>
      </w:r>
      <w:r w:rsidR="001C6508">
        <w:rPr>
          <w:b/>
          <w:bCs/>
          <w:lang w:val="en-US"/>
        </w:rPr>
        <w:t xml:space="preserve">as well as </w:t>
      </w:r>
      <w:r w:rsidRPr="004552AF">
        <w:rPr>
          <w:b/>
          <w:bCs/>
          <w:lang w:val="en-US"/>
        </w:rPr>
        <w:t xml:space="preserve">on workplace accidents and occupational diseases in the construction industry, including </w:t>
      </w:r>
      <w:r w:rsidR="001C6508">
        <w:rPr>
          <w:b/>
          <w:bCs/>
          <w:lang w:val="en-US"/>
        </w:rPr>
        <w:t>in terms of</w:t>
      </w:r>
      <w:r w:rsidRPr="004552AF">
        <w:rPr>
          <w:b/>
          <w:bCs/>
          <w:lang w:val="en-US"/>
        </w:rPr>
        <w:t xml:space="preserve"> percentage of </w:t>
      </w:r>
      <w:r w:rsidR="001C6508">
        <w:rPr>
          <w:b/>
          <w:bCs/>
          <w:lang w:val="en-US"/>
        </w:rPr>
        <w:t>workplace</w:t>
      </w:r>
      <w:r w:rsidRPr="004552AF">
        <w:rPr>
          <w:b/>
          <w:bCs/>
          <w:lang w:val="en-US"/>
        </w:rPr>
        <w:t xml:space="preserve"> accidents</w:t>
      </w:r>
      <w:r w:rsidR="001C6508">
        <w:rPr>
          <w:b/>
          <w:bCs/>
          <w:lang w:val="en-US"/>
        </w:rPr>
        <w:t xml:space="preserve"> and occupational diseases in all sectors of the economy</w:t>
      </w:r>
      <w:r w:rsidRPr="004552AF">
        <w:rPr>
          <w:b/>
          <w:bCs/>
          <w:lang w:val="en-US"/>
        </w:rPr>
        <w:t>.</w:t>
      </w:r>
    </w:p>
    <w:p w:rsidR="007A357A" w:rsidRPr="004552AF" w:rsidRDefault="00CF3727" w:rsidP="00727603">
      <w:pPr>
        <w:pStyle w:val="SingleTxtG"/>
        <w:numPr>
          <w:ilvl w:val="0"/>
          <w:numId w:val="19"/>
        </w:numPr>
        <w:tabs>
          <w:tab w:val="clear" w:pos="1637"/>
        </w:tabs>
        <w:ind w:left="1134" w:firstLine="0"/>
        <w:rPr>
          <w:lang w:val="en-US"/>
        </w:rPr>
      </w:pPr>
      <w:r w:rsidRPr="004552AF">
        <w:rPr>
          <w:lang w:val="en-US"/>
        </w:rPr>
        <w:t xml:space="preserve">The </w:t>
      </w:r>
      <w:r w:rsidR="007A357A" w:rsidRPr="004552AF">
        <w:rPr>
          <w:lang w:val="en-US"/>
        </w:rPr>
        <w:t>Committee is concerned that</w:t>
      </w:r>
      <w:r w:rsidRPr="004552AF">
        <w:rPr>
          <w:lang w:val="en-US"/>
        </w:rPr>
        <w:t xml:space="preserve">, while victims of sexual harassment have the right to terminate their employment contract, </w:t>
      </w:r>
      <w:r w:rsidR="007A357A" w:rsidRPr="004552AF">
        <w:rPr>
          <w:lang w:val="en-US"/>
        </w:rPr>
        <w:t xml:space="preserve">sexual harassment in the workplace has not been criminalized. </w:t>
      </w:r>
      <w:r w:rsidRPr="004552AF">
        <w:rPr>
          <w:lang w:val="en-US"/>
        </w:rPr>
        <w:t xml:space="preserve">The </w:t>
      </w:r>
      <w:r w:rsidR="00EE3678" w:rsidRPr="004552AF">
        <w:rPr>
          <w:lang w:val="en-US"/>
        </w:rPr>
        <w:t>Committee is</w:t>
      </w:r>
      <w:r w:rsidR="00591083" w:rsidRPr="004552AF">
        <w:rPr>
          <w:lang w:val="en-US"/>
        </w:rPr>
        <w:t xml:space="preserve"> also</w:t>
      </w:r>
      <w:r w:rsidR="00EE3678" w:rsidRPr="004552AF">
        <w:rPr>
          <w:lang w:val="en-US"/>
        </w:rPr>
        <w:t xml:space="preserve"> concern</w:t>
      </w:r>
      <w:r w:rsidR="006F1401">
        <w:rPr>
          <w:lang w:val="en-US"/>
        </w:rPr>
        <w:t>ed</w:t>
      </w:r>
      <w:r w:rsidR="00EE3678" w:rsidRPr="004552AF">
        <w:rPr>
          <w:lang w:val="en-US"/>
        </w:rPr>
        <w:t xml:space="preserve"> that, while divorce is permitted in cases where one spouse harm</w:t>
      </w:r>
      <w:r w:rsidR="00287B29">
        <w:rPr>
          <w:lang w:val="en-US"/>
        </w:rPr>
        <w:t>s</w:t>
      </w:r>
      <w:r w:rsidR="00EE3678" w:rsidRPr="004552AF">
        <w:rPr>
          <w:lang w:val="en-US"/>
        </w:rPr>
        <w:t xml:space="preserve"> the other, marital rape is not criminalized </w:t>
      </w:r>
      <w:r w:rsidR="007A357A" w:rsidRPr="004552AF">
        <w:rPr>
          <w:lang w:val="en-US"/>
        </w:rPr>
        <w:t>(</w:t>
      </w:r>
      <w:r w:rsidR="00067C92">
        <w:rPr>
          <w:lang w:val="en-US"/>
        </w:rPr>
        <w:t>art. </w:t>
      </w:r>
      <w:r w:rsidR="007A357A" w:rsidRPr="004552AF">
        <w:rPr>
          <w:lang w:val="en-US"/>
        </w:rPr>
        <w:t>7)</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 xml:space="preserve">The Committee recommends that the State party introduce in its legislation </w:t>
      </w:r>
      <w:r w:rsidR="00EE3678" w:rsidRPr="004552AF">
        <w:rPr>
          <w:b/>
          <w:bCs/>
          <w:lang w:val="en-US"/>
        </w:rPr>
        <w:t>the</w:t>
      </w:r>
      <w:r w:rsidRPr="004552AF">
        <w:rPr>
          <w:b/>
          <w:bCs/>
          <w:lang w:val="en-US"/>
        </w:rPr>
        <w:t xml:space="preserve"> offence</w:t>
      </w:r>
      <w:r w:rsidR="00EE3678" w:rsidRPr="004552AF">
        <w:rPr>
          <w:b/>
          <w:bCs/>
          <w:lang w:val="en-US"/>
        </w:rPr>
        <w:t>s</w:t>
      </w:r>
      <w:r w:rsidRPr="004552AF">
        <w:rPr>
          <w:b/>
          <w:bCs/>
          <w:lang w:val="en-US"/>
        </w:rPr>
        <w:t xml:space="preserve"> of </w:t>
      </w:r>
      <w:r w:rsidRPr="004552AF">
        <w:rPr>
          <w:b/>
          <w:lang w:val="en-US"/>
        </w:rPr>
        <w:t>sexual</w:t>
      </w:r>
      <w:r w:rsidRPr="004552AF">
        <w:rPr>
          <w:b/>
          <w:bCs/>
          <w:lang w:val="en-US"/>
        </w:rPr>
        <w:t xml:space="preserve"> </w:t>
      </w:r>
      <w:r w:rsidRPr="004552AF">
        <w:rPr>
          <w:b/>
          <w:lang w:val="en-US"/>
        </w:rPr>
        <w:t>harassment</w:t>
      </w:r>
      <w:r w:rsidR="00287B29">
        <w:rPr>
          <w:b/>
          <w:lang w:val="en-US"/>
        </w:rPr>
        <w:t xml:space="preserve"> —</w:t>
      </w:r>
      <w:r w:rsidRPr="004552AF">
        <w:rPr>
          <w:b/>
          <w:bCs/>
          <w:lang w:val="en-US"/>
        </w:rPr>
        <w:t xml:space="preserve"> in</w:t>
      </w:r>
      <w:r w:rsidR="006F1401">
        <w:rPr>
          <w:b/>
          <w:bCs/>
          <w:lang w:val="en-US"/>
        </w:rPr>
        <w:t>cluding</w:t>
      </w:r>
      <w:r w:rsidRPr="004552AF">
        <w:rPr>
          <w:b/>
          <w:bCs/>
          <w:lang w:val="en-US"/>
        </w:rPr>
        <w:t xml:space="preserve"> in the workplace</w:t>
      </w:r>
      <w:r w:rsidR="00287B29">
        <w:rPr>
          <w:b/>
          <w:bCs/>
          <w:lang w:val="en-US"/>
        </w:rPr>
        <w:t xml:space="preserve"> —</w:t>
      </w:r>
      <w:r w:rsidRPr="004552AF">
        <w:rPr>
          <w:b/>
          <w:bCs/>
          <w:lang w:val="en-US"/>
        </w:rPr>
        <w:t xml:space="preserve"> </w:t>
      </w:r>
      <w:r w:rsidR="00EE3678" w:rsidRPr="004552AF">
        <w:rPr>
          <w:b/>
          <w:bCs/>
          <w:lang w:val="en-US"/>
        </w:rPr>
        <w:t>and marital rape</w:t>
      </w:r>
      <w:r w:rsidR="00287B29">
        <w:rPr>
          <w:b/>
          <w:bCs/>
          <w:lang w:val="en-US"/>
        </w:rPr>
        <w:t>,</w:t>
      </w:r>
      <w:r w:rsidR="00EE3678" w:rsidRPr="004552AF">
        <w:rPr>
          <w:b/>
          <w:bCs/>
          <w:lang w:val="en-US"/>
        </w:rPr>
        <w:t xml:space="preserve"> </w:t>
      </w:r>
      <w:r w:rsidR="00287B29">
        <w:rPr>
          <w:b/>
          <w:bCs/>
          <w:lang w:val="en-US"/>
        </w:rPr>
        <w:t xml:space="preserve">and </w:t>
      </w:r>
      <w:r w:rsidRPr="004552AF">
        <w:rPr>
          <w:b/>
          <w:bCs/>
          <w:lang w:val="en-US"/>
        </w:rPr>
        <w:t>sanctions proportionate to the severity of the offence</w:t>
      </w:r>
      <w:r w:rsidR="00EE3678" w:rsidRPr="004552AF">
        <w:rPr>
          <w:b/>
          <w:bCs/>
          <w:lang w:val="en-US"/>
        </w:rPr>
        <w:t>s</w:t>
      </w:r>
      <w:r w:rsidRPr="004552AF">
        <w:rPr>
          <w:b/>
          <w:bCs/>
          <w:lang w:val="en-US"/>
        </w:rPr>
        <w:t xml:space="preserve">. The </w:t>
      </w:r>
      <w:r w:rsidR="006F1401">
        <w:rPr>
          <w:b/>
          <w:bCs/>
          <w:lang w:val="en-US"/>
        </w:rPr>
        <w:t>C</w:t>
      </w:r>
      <w:r w:rsidRPr="004552AF">
        <w:rPr>
          <w:b/>
          <w:bCs/>
          <w:lang w:val="en-US"/>
        </w:rPr>
        <w:t>ommittee also recommends that the State party ensure that victims can lodge complaints without fear of retaliation.</w:t>
      </w:r>
    </w:p>
    <w:p w:rsidR="007A357A" w:rsidRPr="004552AF" w:rsidRDefault="00934A2B" w:rsidP="00EF27D8">
      <w:pPr>
        <w:pStyle w:val="SingleTxtG"/>
        <w:numPr>
          <w:ilvl w:val="0"/>
          <w:numId w:val="19"/>
        </w:numPr>
        <w:tabs>
          <w:tab w:val="clear" w:pos="1637"/>
        </w:tabs>
        <w:ind w:left="1134" w:firstLine="0"/>
        <w:rPr>
          <w:lang w:val="en-US"/>
        </w:rPr>
      </w:pPr>
      <w:r w:rsidRPr="004552AF">
        <w:rPr>
          <w:lang w:val="en-US"/>
        </w:rPr>
        <w:t>Notwit</w:t>
      </w:r>
      <w:r w:rsidR="00D320EB" w:rsidRPr="004552AF">
        <w:rPr>
          <w:lang w:val="en-US"/>
        </w:rPr>
        <w:t>h</w:t>
      </w:r>
      <w:r w:rsidRPr="004552AF">
        <w:rPr>
          <w:lang w:val="en-US"/>
        </w:rPr>
        <w:t>standing</w:t>
      </w:r>
      <w:r w:rsidR="003D32FD" w:rsidRPr="004552AF">
        <w:rPr>
          <w:lang w:val="en-US"/>
        </w:rPr>
        <w:t xml:space="preserve"> the fact that</w:t>
      </w:r>
      <w:r w:rsidRPr="004552AF">
        <w:rPr>
          <w:lang w:val="en-US"/>
        </w:rPr>
        <w:t xml:space="preserve"> </w:t>
      </w:r>
      <w:r w:rsidR="007A357A" w:rsidRPr="004552AF">
        <w:rPr>
          <w:lang w:val="en-US"/>
        </w:rPr>
        <w:t xml:space="preserve">strikes have taken place in the State party, the Committee expresses concern that </w:t>
      </w:r>
      <w:r w:rsidR="006F1401">
        <w:rPr>
          <w:lang w:val="en-US"/>
        </w:rPr>
        <w:t>the right to strike is not protected by law and that</w:t>
      </w:r>
      <w:r w:rsidRPr="004552AF">
        <w:rPr>
          <w:lang w:val="en-US"/>
        </w:rPr>
        <w:t xml:space="preserve"> </w:t>
      </w:r>
      <w:r w:rsidR="007A357A" w:rsidRPr="004552AF">
        <w:rPr>
          <w:lang w:val="en-US"/>
        </w:rPr>
        <w:t>the State party has maintained the reservation to article 8</w:t>
      </w:r>
      <w:r w:rsidR="00287B29">
        <w:rPr>
          <w:lang w:val="en-US"/>
        </w:rPr>
        <w:t xml:space="preserve">, paragraph </w:t>
      </w:r>
      <w:r w:rsidR="007A357A" w:rsidRPr="004552AF">
        <w:rPr>
          <w:lang w:val="en-US"/>
        </w:rPr>
        <w:t>1</w:t>
      </w:r>
      <w:r w:rsidR="00287B29">
        <w:rPr>
          <w:lang w:val="en-US"/>
        </w:rPr>
        <w:t xml:space="preserve"> </w:t>
      </w:r>
      <w:r w:rsidR="007A357A" w:rsidRPr="004552AF">
        <w:rPr>
          <w:lang w:val="en-US"/>
        </w:rPr>
        <w:t>(d)</w:t>
      </w:r>
      <w:r w:rsidR="00287B29">
        <w:rPr>
          <w:lang w:val="en-US"/>
        </w:rPr>
        <w:t>,</w:t>
      </w:r>
      <w:r w:rsidR="007A357A" w:rsidRPr="004552AF">
        <w:rPr>
          <w:lang w:val="en-US"/>
        </w:rPr>
        <w:t xml:space="preserve"> of the Covenant (</w:t>
      </w:r>
      <w:r w:rsidR="00067C92">
        <w:rPr>
          <w:lang w:val="en-US"/>
        </w:rPr>
        <w:t>art. </w:t>
      </w:r>
      <w:r w:rsidR="007A357A" w:rsidRPr="004552AF">
        <w:rPr>
          <w:lang w:val="en-US"/>
        </w:rPr>
        <w:t>8)</w:t>
      </w:r>
      <w:r w:rsidR="00727603">
        <w:rPr>
          <w:lang w:val="en-US"/>
        </w:rPr>
        <w:t>.</w:t>
      </w:r>
    </w:p>
    <w:p w:rsidR="007A357A" w:rsidRPr="004552AF" w:rsidRDefault="005B0254" w:rsidP="007A357A">
      <w:pPr>
        <w:pStyle w:val="SingleTxtG"/>
        <w:tabs>
          <w:tab w:val="left" w:pos="1701"/>
        </w:tabs>
        <w:rPr>
          <w:b/>
          <w:bCs/>
          <w:lang w:val="en-US"/>
        </w:rPr>
      </w:pPr>
      <w:r w:rsidRPr="004552AF">
        <w:rPr>
          <w:b/>
          <w:bCs/>
          <w:lang w:val="en-US"/>
        </w:rPr>
        <w:t xml:space="preserve">Based on </w:t>
      </w:r>
      <w:r w:rsidR="00287B29">
        <w:rPr>
          <w:b/>
          <w:bCs/>
          <w:lang w:val="en-US"/>
        </w:rPr>
        <w:t xml:space="preserve">information from </w:t>
      </w:r>
      <w:r w:rsidR="007A357A" w:rsidRPr="004552AF">
        <w:rPr>
          <w:b/>
          <w:bCs/>
          <w:lang w:val="en-US"/>
        </w:rPr>
        <w:t xml:space="preserve">the State party that strikes are not prohibited, the Committee calls on </w:t>
      </w:r>
      <w:r w:rsidR="00287B29">
        <w:rPr>
          <w:b/>
          <w:bCs/>
          <w:lang w:val="en-US"/>
        </w:rPr>
        <w:t>the State party</w:t>
      </w:r>
      <w:r w:rsidR="007A357A" w:rsidRPr="004552AF">
        <w:rPr>
          <w:b/>
          <w:bCs/>
          <w:lang w:val="en-US"/>
        </w:rPr>
        <w:t xml:space="preserve"> to withdraw its reservation to article 8</w:t>
      </w:r>
      <w:r w:rsidR="00287B29">
        <w:rPr>
          <w:b/>
          <w:bCs/>
          <w:lang w:val="en-US"/>
        </w:rPr>
        <w:t xml:space="preserve">, paragraph </w:t>
      </w:r>
      <w:r w:rsidR="007A357A" w:rsidRPr="004552AF">
        <w:rPr>
          <w:b/>
          <w:bCs/>
          <w:lang w:val="en-US"/>
        </w:rPr>
        <w:t>1</w:t>
      </w:r>
      <w:r w:rsidR="00287B29">
        <w:rPr>
          <w:b/>
          <w:bCs/>
          <w:lang w:val="en-US"/>
        </w:rPr>
        <w:t xml:space="preserve"> </w:t>
      </w:r>
      <w:r w:rsidR="007A357A" w:rsidRPr="004552AF">
        <w:rPr>
          <w:b/>
          <w:bCs/>
          <w:lang w:val="en-US"/>
        </w:rPr>
        <w:t>(d)</w:t>
      </w:r>
      <w:r w:rsidR="00287B29">
        <w:rPr>
          <w:b/>
          <w:bCs/>
          <w:lang w:val="en-US"/>
        </w:rPr>
        <w:t>, of the Covenant</w:t>
      </w:r>
      <w:r w:rsidR="007A357A" w:rsidRPr="004552AF">
        <w:rPr>
          <w:b/>
          <w:bCs/>
          <w:lang w:val="en-US"/>
        </w:rPr>
        <w:t xml:space="preserve"> and </w:t>
      </w:r>
      <w:r w:rsidR="006F1401">
        <w:rPr>
          <w:b/>
          <w:bCs/>
          <w:lang w:val="en-US"/>
        </w:rPr>
        <w:t>establish safeguards for</w:t>
      </w:r>
      <w:r w:rsidR="007A357A" w:rsidRPr="004552AF">
        <w:rPr>
          <w:b/>
          <w:bCs/>
          <w:lang w:val="en-US"/>
        </w:rPr>
        <w:t xml:space="preserve"> the exercise of the right to strike. </w:t>
      </w:r>
    </w:p>
    <w:p w:rsidR="007A357A" w:rsidRPr="004552AF" w:rsidRDefault="007A357A" w:rsidP="00EF27D8">
      <w:pPr>
        <w:pStyle w:val="SingleTxtG"/>
        <w:numPr>
          <w:ilvl w:val="0"/>
          <w:numId w:val="19"/>
        </w:numPr>
        <w:tabs>
          <w:tab w:val="clear" w:pos="1637"/>
        </w:tabs>
        <w:ind w:left="1134" w:firstLine="0"/>
        <w:rPr>
          <w:lang w:val="en-US"/>
        </w:rPr>
      </w:pPr>
      <w:r w:rsidRPr="004552AF">
        <w:rPr>
          <w:lang w:val="en-US"/>
        </w:rPr>
        <w:t xml:space="preserve">The Committee notes with concern that under the 2010 </w:t>
      </w:r>
      <w:proofErr w:type="spellStart"/>
      <w:r w:rsidRPr="004552AF">
        <w:rPr>
          <w:lang w:val="en-US"/>
        </w:rPr>
        <w:t>Labour</w:t>
      </w:r>
      <w:proofErr w:type="spellEnd"/>
      <w:r w:rsidRPr="004552AF">
        <w:rPr>
          <w:lang w:val="en-US"/>
        </w:rPr>
        <w:t xml:space="preserve"> Law, the right to form trade unions is recognized only </w:t>
      </w:r>
      <w:r w:rsidR="006F1401">
        <w:rPr>
          <w:lang w:val="en-US"/>
        </w:rPr>
        <w:t xml:space="preserve">with regard </w:t>
      </w:r>
      <w:r w:rsidRPr="004552AF">
        <w:rPr>
          <w:lang w:val="en-US"/>
        </w:rPr>
        <w:t>to nationals, in spite of the Committee’s previous recommendation</w:t>
      </w:r>
      <w:r w:rsidR="00287B29">
        <w:rPr>
          <w:lang w:val="en-US"/>
        </w:rPr>
        <w:t xml:space="preserve"> (E/C.12/</w:t>
      </w:r>
      <w:r w:rsidR="002A4712">
        <w:rPr>
          <w:lang w:val="en-US"/>
        </w:rPr>
        <w:t>1/Add.98</w:t>
      </w:r>
      <w:r w:rsidR="00287B29">
        <w:rPr>
          <w:lang w:val="en-US"/>
        </w:rPr>
        <w:t xml:space="preserve">, para. </w:t>
      </w:r>
      <w:r w:rsidR="002A4712">
        <w:rPr>
          <w:lang w:val="en-US"/>
        </w:rPr>
        <w:t>3</w:t>
      </w:r>
      <w:r w:rsidR="00287B29">
        <w:rPr>
          <w:lang w:val="en-US"/>
        </w:rPr>
        <w:t>8)</w:t>
      </w:r>
      <w:r w:rsidR="006C7CA2">
        <w:rPr>
          <w:lang w:val="en-US"/>
        </w:rPr>
        <w:t xml:space="preserve"> </w:t>
      </w:r>
      <w:r w:rsidRPr="004552AF">
        <w:rPr>
          <w:lang w:val="en-US"/>
        </w:rPr>
        <w:t>(art.</w:t>
      </w:r>
      <w:r w:rsidR="00067C92">
        <w:rPr>
          <w:lang w:val="en-US"/>
        </w:rPr>
        <w:t> </w:t>
      </w:r>
      <w:r w:rsidRPr="004552AF">
        <w:rPr>
          <w:lang w:val="en-US"/>
        </w:rPr>
        <w:t>8)</w:t>
      </w:r>
      <w:r w:rsidR="00727603">
        <w:rPr>
          <w:lang w:val="en-US"/>
        </w:rPr>
        <w:t>.</w:t>
      </w:r>
    </w:p>
    <w:p w:rsidR="007A357A" w:rsidRPr="004552AF" w:rsidRDefault="007A357A" w:rsidP="007A357A">
      <w:pPr>
        <w:pStyle w:val="SingleTxtG"/>
        <w:tabs>
          <w:tab w:val="left" w:pos="1701"/>
        </w:tabs>
        <w:rPr>
          <w:b/>
          <w:bCs/>
          <w:lang w:val="en-US"/>
        </w:rPr>
      </w:pPr>
      <w:r w:rsidRPr="00227C88">
        <w:rPr>
          <w:b/>
          <w:bCs/>
          <w:lang w:val="en-US"/>
        </w:rPr>
        <w:t xml:space="preserve">The Committee </w:t>
      </w:r>
      <w:r w:rsidR="005B0254" w:rsidRPr="00227C88">
        <w:rPr>
          <w:b/>
          <w:bCs/>
          <w:lang w:val="en-US"/>
        </w:rPr>
        <w:t>reiterates</w:t>
      </w:r>
      <w:r w:rsidR="005B0254" w:rsidRPr="004552AF">
        <w:rPr>
          <w:b/>
          <w:bCs/>
          <w:lang w:val="en-US"/>
        </w:rPr>
        <w:t xml:space="preserve"> i</w:t>
      </w:r>
      <w:r w:rsidR="004B4984" w:rsidRPr="004552AF">
        <w:rPr>
          <w:b/>
          <w:bCs/>
          <w:lang w:val="en-US"/>
        </w:rPr>
        <w:t>t</w:t>
      </w:r>
      <w:r w:rsidR="005B0254" w:rsidRPr="004552AF">
        <w:rPr>
          <w:b/>
          <w:bCs/>
          <w:lang w:val="en-US"/>
        </w:rPr>
        <w:t>s recommendation</w:t>
      </w:r>
      <w:r w:rsidRPr="004552AF">
        <w:rPr>
          <w:b/>
          <w:bCs/>
          <w:lang w:val="en-US"/>
        </w:rPr>
        <w:t xml:space="preserve"> t</w:t>
      </w:r>
      <w:r w:rsidR="005B0254" w:rsidRPr="004552AF">
        <w:rPr>
          <w:b/>
          <w:bCs/>
          <w:lang w:val="en-US"/>
        </w:rPr>
        <w:t>o t</w:t>
      </w:r>
      <w:r w:rsidRPr="004552AF">
        <w:rPr>
          <w:b/>
          <w:bCs/>
          <w:lang w:val="en-US"/>
        </w:rPr>
        <w:t>he State party to extend trade union rights to non-nationals, in line with article 8 of the Covenant. Bearing in mind that</w:t>
      </w:r>
      <w:r w:rsidR="00227C88">
        <w:rPr>
          <w:b/>
          <w:bCs/>
          <w:lang w:val="en-US"/>
        </w:rPr>
        <w:t xml:space="preserve"> the</w:t>
      </w:r>
      <w:r w:rsidRPr="004552AF">
        <w:rPr>
          <w:b/>
          <w:bCs/>
          <w:lang w:val="en-US"/>
        </w:rPr>
        <w:t xml:space="preserve"> </w:t>
      </w:r>
      <w:r w:rsidRPr="0071621D">
        <w:rPr>
          <w:b/>
          <w:bCs/>
          <w:lang w:val="en-US"/>
        </w:rPr>
        <w:t>workforce</w:t>
      </w:r>
      <w:r w:rsidRPr="004552AF">
        <w:rPr>
          <w:b/>
          <w:bCs/>
          <w:lang w:val="en-US"/>
        </w:rPr>
        <w:t xml:space="preserve"> in some industries is composed primarily of migrant workers, the Committee underlines the importance of recognizing their right to form and join trade unions to represent their interest</w:t>
      </w:r>
      <w:r w:rsidR="0071621D">
        <w:rPr>
          <w:b/>
          <w:bCs/>
          <w:lang w:val="en-US"/>
        </w:rPr>
        <w:t>s</w:t>
      </w:r>
      <w:r w:rsidRPr="004552AF">
        <w:rPr>
          <w:b/>
          <w:bCs/>
          <w:lang w:val="en-US"/>
        </w:rPr>
        <w:t xml:space="preserve"> with a view to improving the</w:t>
      </w:r>
      <w:r w:rsidR="001A556F">
        <w:rPr>
          <w:b/>
          <w:bCs/>
          <w:lang w:val="en-US"/>
        </w:rPr>
        <w:t xml:space="preserve"> enjoyment of their Covenant rights</w:t>
      </w:r>
      <w:r w:rsidRPr="004552AF">
        <w:rPr>
          <w:b/>
          <w:bCs/>
          <w:lang w:val="en-US"/>
        </w:rPr>
        <w:t>.</w:t>
      </w:r>
    </w:p>
    <w:p w:rsidR="007A357A" w:rsidRPr="004552AF" w:rsidRDefault="007A357A" w:rsidP="00EF27D8">
      <w:pPr>
        <w:pStyle w:val="SingleTxtG"/>
        <w:numPr>
          <w:ilvl w:val="0"/>
          <w:numId w:val="19"/>
        </w:numPr>
        <w:tabs>
          <w:tab w:val="clear" w:pos="1637"/>
        </w:tabs>
        <w:ind w:left="1134" w:firstLine="0"/>
        <w:rPr>
          <w:lang w:val="en-US"/>
        </w:rPr>
      </w:pPr>
      <w:r w:rsidRPr="004552AF">
        <w:rPr>
          <w:lang w:val="en-US"/>
        </w:rPr>
        <w:t>The Committee is concerned that the State party has not taken steps to include non-Kuwaiti nationals in its social insurance scheme, in spite of the Committee’s previous recommendation</w:t>
      </w:r>
      <w:r w:rsidR="002A4712">
        <w:rPr>
          <w:lang w:val="en-US"/>
        </w:rPr>
        <w:t xml:space="preserve"> (E/C.12/1/Add.98, para. 40)</w:t>
      </w:r>
      <w:r w:rsidRPr="004552AF">
        <w:rPr>
          <w:lang w:val="en-US"/>
        </w:rPr>
        <w:t xml:space="preserve"> (art.</w:t>
      </w:r>
      <w:r w:rsidR="00067C92">
        <w:rPr>
          <w:lang w:val="en-US"/>
        </w:rPr>
        <w:t> </w:t>
      </w:r>
      <w:r w:rsidRPr="004552AF">
        <w:rPr>
          <w:lang w:val="en-US"/>
        </w:rPr>
        <w:t>9)</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 xml:space="preserve">The Committee </w:t>
      </w:r>
      <w:r w:rsidR="006F1401">
        <w:rPr>
          <w:b/>
          <w:bCs/>
          <w:lang w:val="en-US"/>
        </w:rPr>
        <w:t>urges</w:t>
      </w:r>
      <w:r w:rsidR="0094523B" w:rsidRPr="004552AF">
        <w:rPr>
          <w:b/>
          <w:bCs/>
          <w:lang w:val="en-US"/>
        </w:rPr>
        <w:t xml:space="preserve"> </w:t>
      </w:r>
      <w:r w:rsidRPr="004552AF">
        <w:rPr>
          <w:b/>
          <w:bCs/>
          <w:lang w:val="en-US"/>
        </w:rPr>
        <w:t xml:space="preserve">the State party </w:t>
      </w:r>
      <w:r w:rsidR="006F1401">
        <w:rPr>
          <w:b/>
          <w:bCs/>
          <w:lang w:val="en-US"/>
        </w:rPr>
        <w:t xml:space="preserve">to </w:t>
      </w:r>
      <w:r w:rsidRPr="004552AF">
        <w:rPr>
          <w:b/>
          <w:bCs/>
          <w:lang w:val="en-US"/>
        </w:rPr>
        <w:t xml:space="preserve">withdraw its interpretive declaration to article 9 </w:t>
      </w:r>
      <w:r w:rsidR="009B088C">
        <w:rPr>
          <w:b/>
          <w:bCs/>
          <w:lang w:val="en-US"/>
        </w:rPr>
        <w:t xml:space="preserve">of the Covenant </w:t>
      </w:r>
      <w:r w:rsidRPr="004552AF">
        <w:rPr>
          <w:b/>
          <w:bCs/>
          <w:lang w:val="en-US"/>
        </w:rPr>
        <w:t xml:space="preserve">and to give non-nationals access to its contributory social security schemes </w:t>
      </w:r>
      <w:r w:rsidR="0071621D">
        <w:rPr>
          <w:b/>
          <w:bCs/>
          <w:lang w:val="en-US"/>
        </w:rPr>
        <w:t>for</w:t>
      </w:r>
      <w:r w:rsidRPr="004552AF">
        <w:rPr>
          <w:b/>
          <w:bCs/>
          <w:lang w:val="en-US"/>
        </w:rPr>
        <w:t xml:space="preserve"> old-age pension and unemployment. Moreover, </w:t>
      </w:r>
      <w:r w:rsidR="0071621D">
        <w:rPr>
          <w:b/>
          <w:bCs/>
          <w:lang w:val="en-US"/>
        </w:rPr>
        <w:t>the Committee</w:t>
      </w:r>
      <w:r w:rsidRPr="004552AF">
        <w:rPr>
          <w:b/>
          <w:bCs/>
          <w:lang w:val="en-US"/>
        </w:rPr>
        <w:t xml:space="preserve"> recommends that the State party ensure that entitlements are not affected by a change of employer and that migrant workers are able to retrieve their contributions when they leave the country</w:t>
      </w:r>
      <w:r w:rsidR="0071621D">
        <w:rPr>
          <w:b/>
          <w:bCs/>
          <w:lang w:val="en-US"/>
        </w:rPr>
        <w:t>, even if they have not</w:t>
      </w:r>
      <w:r w:rsidR="009B088C">
        <w:rPr>
          <w:b/>
          <w:bCs/>
          <w:lang w:val="en-US"/>
        </w:rPr>
        <w:t xml:space="preserve"> acquired the corresponding rights</w:t>
      </w:r>
      <w:r w:rsidRPr="004552AF">
        <w:rPr>
          <w:b/>
          <w:bCs/>
          <w:lang w:val="en-US"/>
        </w:rPr>
        <w:t>.</w:t>
      </w:r>
      <w:r w:rsidR="00067C92">
        <w:rPr>
          <w:b/>
          <w:bCs/>
          <w:lang w:val="en-US"/>
        </w:rPr>
        <w:t xml:space="preserve"> </w:t>
      </w:r>
      <w:r w:rsidRPr="004552AF">
        <w:rPr>
          <w:b/>
          <w:bCs/>
          <w:lang w:val="en-US"/>
        </w:rPr>
        <w:t xml:space="preserve">The Committee refers the State party to its general comment </w:t>
      </w:r>
      <w:r w:rsidR="00067C92">
        <w:rPr>
          <w:b/>
          <w:bCs/>
          <w:lang w:val="en-US"/>
        </w:rPr>
        <w:t>No. </w:t>
      </w:r>
      <w:r w:rsidRPr="004552AF">
        <w:rPr>
          <w:b/>
          <w:bCs/>
          <w:lang w:val="en-US"/>
        </w:rPr>
        <w:t>19 (2007) on the right to social security.</w:t>
      </w:r>
    </w:p>
    <w:p w:rsidR="007A357A" w:rsidRPr="004552AF" w:rsidRDefault="007A357A" w:rsidP="00EF27D8">
      <w:pPr>
        <w:pStyle w:val="SingleTxtG"/>
        <w:numPr>
          <w:ilvl w:val="0"/>
          <w:numId w:val="19"/>
        </w:numPr>
        <w:tabs>
          <w:tab w:val="clear" w:pos="1637"/>
        </w:tabs>
        <w:ind w:left="1134" w:firstLine="0"/>
        <w:rPr>
          <w:lang w:val="en-US"/>
        </w:rPr>
      </w:pPr>
      <w:r w:rsidRPr="004552AF">
        <w:rPr>
          <w:lang w:val="en-US"/>
        </w:rPr>
        <w:t xml:space="preserve">The Committee is concerned at practices and legal provisions </w:t>
      </w:r>
      <w:r w:rsidR="0071621D">
        <w:rPr>
          <w:lang w:val="en-US"/>
        </w:rPr>
        <w:t>relating to</w:t>
      </w:r>
      <w:r w:rsidRPr="004552AF">
        <w:rPr>
          <w:lang w:val="en-US"/>
        </w:rPr>
        <w:t xml:space="preserve"> marriage which do not meet the State party’s obligations under article 10 of the Covenant on protection of </w:t>
      </w:r>
      <w:r w:rsidR="0071621D">
        <w:rPr>
          <w:lang w:val="en-US"/>
        </w:rPr>
        <w:t xml:space="preserve">the </w:t>
      </w:r>
      <w:r w:rsidRPr="004552AF">
        <w:rPr>
          <w:lang w:val="en-US"/>
        </w:rPr>
        <w:t>family, care of dependent children and free consent to marriage (</w:t>
      </w:r>
      <w:r w:rsidR="00067C92">
        <w:rPr>
          <w:lang w:val="en-US"/>
        </w:rPr>
        <w:t>art. </w:t>
      </w:r>
      <w:r w:rsidRPr="004552AF">
        <w:rPr>
          <w:lang w:val="en-US"/>
        </w:rPr>
        <w:t>10)</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 xml:space="preserve">The </w:t>
      </w:r>
      <w:r w:rsidR="0071621D">
        <w:rPr>
          <w:b/>
          <w:bCs/>
          <w:lang w:val="en-US"/>
        </w:rPr>
        <w:t>Committee</w:t>
      </w:r>
      <w:r w:rsidRPr="004552AF">
        <w:rPr>
          <w:b/>
          <w:bCs/>
          <w:lang w:val="en-US"/>
        </w:rPr>
        <w:t xml:space="preserve"> calls on the State party to: (a) </w:t>
      </w:r>
      <w:r w:rsidR="001559C2">
        <w:rPr>
          <w:b/>
          <w:bCs/>
          <w:lang w:val="en-US"/>
        </w:rPr>
        <w:t>establish a minimum</w:t>
      </w:r>
      <w:r w:rsidRPr="004552AF">
        <w:rPr>
          <w:b/>
          <w:bCs/>
          <w:lang w:val="en-US"/>
        </w:rPr>
        <w:t xml:space="preserve"> age</w:t>
      </w:r>
      <w:r w:rsidR="0071621D">
        <w:rPr>
          <w:b/>
          <w:bCs/>
          <w:lang w:val="en-US"/>
        </w:rPr>
        <w:t xml:space="preserve"> of at least 18 years </w:t>
      </w:r>
      <w:r w:rsidR="001559C2">
        <w:rPr>
          <w:b/>
          <w:bCs/>
          <w:lang w:val="en-US"/>
        </w:rPr>
        <w:t>for marriage</w:t>
      </w:r>
      <w:r w:rsidRPr="004552AF">
        <w:rPr>
          <w:b/>
          <w:bCs/>
          <w:lang w:val="en-US"/>
        </w:rPr>
        <w:t xml:space="preserve"> </w:t>
      </w:r>
      <w:r w:rsidR="006A06D9">
        <w:rPr>
          <w:b/>
          <w:bCs/>
          <w:lang w:val="en-US"/>
        </w:rPr>
        <w:t>for</w:t>
      </w:r>
      <w:r w:rsidRPr="004552AF">
        <w:rPr>
          <w:b/>
          <w:bCs/>
          <w:lang w:val="en-US"/>
        </w:rPr>
        <w:t xml:space="preserve"> boys and girls; (b) abrogate the restrictions on marriage with foreigners or non-Muslims; and (c) ensure that marriage is entered into with the free consent of the intending spouses.</w:t>
      </w:r>
    </w:p>
    <w:p w:rsidR="007A357A" w:rsidRPr="004552AF" w:rsidRDefault="007A357A" w:rsidP="00EF27D8">
      <w:pPr>
        <w:pStyle w:val="SingleTxtG"/>
        <w:numPr>
          <w:ilvl w:val="0"/>
          <w:numId w:val="19"/>
        </w:numPr>
        <w:tabs>
          <w:tab w:val="clear" w:pos="1637"/>
        </w:tabs>
        <w:ind w:left="1134" w:firstLine="0"/>
        <w:rPr>
          <w:lang w:val="en-US"/>
        </w:rPr>
      </w:pPr>
      <w:r w:rsidRPr="004552AF">
        <w:rPr>
          <w:lang w:val="en-US"/>
        </w:rPr>
        <w:t>The Committee is concerned at reports of inadequate housing conditions for migrant workers, in spite of the State party’s legislation and regulations on standards of accommodation to be provided by employers (</w:t>
      </w:r>
      <w:r w:rsidR="00067C92">
        <w:rPr>
          <w:lang w:val="en-US"/>
        </w:rPr>
        <w:t>art. </w:t>
      </w:r>
      <w:r w:rsidRPr="004552AF">
        <w:rPr>
          <w:lang w:val="en-US"/>
        </w:rPr>
        <w:t>11)</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 xml:space="preserve">The Committee recommends that the State party continue </w:t>
      </w:r>
      <w:r w:rsidR="0071621D">
        <w:rPr>
          <w:b/>
          <w:bCs/>
          <w:lang w:val="en-US"/>
        </w:rPr>
        <w:t xml:space="preserve">to </w:t>
      </w:r>
      <w:r w:rsidRPr="004552AF">
        <w:rPr>
          <w:b/>
          <w:bCs/>
          <w:lang w:val="en-US"/>
        </w:rPr>
        <w:t>monitor accommodation conditions for migrant workers</w:t>
      </w:r>
      <w:r w:rsidR="00DA6217">
        <w:rPr>
          <w:b/>
          <w:bCs/>
          <w:lang w:val="en-US"/>
        </w:rPr>
        <w:t xml:space="preserve"> with a view to ensuring </w:t>
      </w:r>
      <w:r w:rsidR="001A556F">
        <w:rPr>
          <w:b/>
          <w:bCs/>
          <w:lang w:val="en-US"/>
        </w:rPr>
        <w:t xml:space="preserve">their right to </w:t>
      </w:r>
      <w:r w:rsidR="00DA6217">
        <w:rPr>
          <w:b/>
          <w:bCs/>
          <w:lang w:val="en-US"/>
        </w:rPr>
        <w:t>adequate housing</w:t>
      </w:r>
      <w:r w:rsidRPr="004552AF">
        <w:rPr>
          <w:b/>
          <w:bCs/>
          <w:lang w:val="en-US"/>
        </w:rPr>
        <w:t xml:space="preserve">. The Committee also recommends that </w:t>
      </w:r>
      <w:r w:rsidR="0071621D">
        <w:rPr>
          <w:b/>
          <w:bCs/>
          <w:lang w:val="en-US"/>
        </w:rPr>
        <w:t xml:space="preserve">the State party set </w:t>
      </w:r>
      <w:r w:rsidRPr="004552AF">
        <w:rPr>
          <w:b/>
          <w:bCs/>
          <w:lang w:val="en-US"/>
        </w:rPr>
        <w:t xml:space="preserve">rental allowance </w:t>
      </w:r>
      <w:r w:rsidR="0071621D">
        <w:rPr>
          <w:b/>
          <w:bCs/>
          <w:lang w:val="en-US"/>
        </w:rPr>
        <w:t xml:space="preserve">standards </w:t>
      </w:r>
      <w:r w:rsidRPr="004552AF">
        <w:rPr>
          <w:b/>
          <w:bCs/>
          <w:lang w:val="en-US"/>
        </w:rPr>
        <w:t xml:space="preserve">to ensure that migrant workers who do not receive accommodation from their employers have access to adequate and affordable housing. The Committee draws the </w:t>
      </w:r>
      <w:r w:rsidR="0071621D">
        <w:rPr>
          <w:b/>
          <w:bCs/>
          <w:lang w:val="en-US"/>
        </w:rPr>
        <w:t xml:space="preserve">State party’s </w:t>
      </w:r>
      <w:r w:rsidRPr="004552AF">
        <w:rPr>
          <w:b/>
          <w:bCs/>
          <w:lang w:val="en-US"/>
        </w:rPr>
        <w:t xml:space="preserve">attention to its general comment </w:t>
      </w:r>
      <w:r w:rsidR="00067C92">
        <w:rPr>
          <w:b/>
          <w:bCs/>
          <w:lang w:val="en-US"/>
        </w:rPr>
        <w:t>No. </w:t>
      </w:r>
      <w:r w:rsidRPr="004552AF">
        <w:rPr>
          <w:b/>
          <w:bCs/>
          <w:lang w:val="en-US"/>
        </w:rPr>
        <w:t xml:space="preserve">4 (1991) on the right to adequate housing. </w:t>
      </w:r>
    </w:p>
    <w:p w:rsidR="007A357A" w:rsidRPr="004552AF" w:rsidRDefault="007A357A" w:rsidP="00EF27D8">
      <w:pPr>
        <w:pStyle w:val="SingleTxtG"/>
        <w:numPr>
          <w:ilvl w:val="0"/>
          <w:numId w:val="19"/>
        </w:numPr>
        <w:tabs>
          <w:tab w:val="clear" w:pos="1637"/>
        </w:tabs>
        <w:ind w:left="1134" w:firstLine="0"/>
        <w:rPr>
          <w:lang w:val="en-US"/>
        </w:rPr>
      </w:pPr>
      <w:r w:rsidRPr="004552AF">
        <w:rPr>
          <w:lang w:val="en-US"/>
        </w:rPr>
        <w:t>The Committee is concerned that the Mental Health Act focuses only on institutional care and does not regulate confinement (</w:t>
      </w:r>
      <w:r w:rsidR="00067C92">
        <w:rPr>
          <w:lang w:val="en-US"/>
        </w:rPr>
        <w:t>art. </w:t>
      </w:r>
      <w:r w:rsidRPr="004552AF">
        <w:rPr>
          <w:lang w:val="en-US"/>
        </w:rPr>
        <w:t>12)</w:t>
      </w:r>
      <w:r w:rsidR="00727603">
        <w:rPr>
          <w:lang w:val="en-US"/>
        </w:rPr>
        <w:t>.</w:t>
      </w:r>
    </w:p>
    <w:p w:rsidR="007A357A" w:rsidRPr="004552AF" w:rsidRDefault="007A357A" w:rsidP="007A357A">
      <w:pPr>
        <w:pStyle w:val="SingleTxtG"/>
        <w:tabs>
          <w:tab w:val="left" w:pos="1701"/>
        </w:tabs>
        <w:rPr>
          <w:lang w:val="en-US"/>
        </w:rPr>
      </w:pPr>
      <w:r w:rsidRPr="004552AF">
        <w:rPr>
          <w:b/>
          <w:bCs/>
          <w:lang w:val="en-US"/>
        </w:rPr>
        <w:t>The Committee calls on the State party to bring its Mental Health Act into line with established international standards, including by regulating the review and control of internment and confinement. The Committee also recommends that the State party</w:t>
      </w:r>
      <w:r w:rsidR="00874E87">
        <w:rPr>
          <w:b/>
          <w:bCs/>
          <w:lang w:val="en-US"/>
        </w:rPr>
        <w:t>:</w:t>
      </w:r>
      <w:r w:rsidRPr="004552AF">
        <w:rPr>
          <w:b/>
          <w:bCs/>
          <w:lang w:val="en-US"/>
        </w:rPr>
        <w:t xml:space="preserve"> (a) train mental health professionals in the application of international principles of mental health assessments; (b) develop community-based services; and (c) ensure that mental health is included in the health insuranc</w:t>
      </w:r>
      <w:r w:rsidR="00E63989" w:rsidRPr="004552AF">
        <w:rPr>
          <w:b/>
          <w:bCs/>
          <w:lang w:val="en-US"/>
        </w:rPr>
        <w:t xml:space="preserve">e </w:t>
      </w:r>
      <w:proofErr w:type="spellStart"/>
      <w:r w:rsidR="00E63989" w:rsidRPr="004552AF">
        <w:rPr>
          <w:b/>
          <w:bCs/>
          <w:lang w:val="en-US"/>
        </w:rPr>
        <w:t>programme</w:t>
      </w:r>
      <w:proofErr w:type="spellEnd"/>
      <w:r w:rsidR="00E63989" w:rsidRPr="004552AF">
        <w:rPr>
          <w:b/>
          <w:bCs/>
          <w:lang w:val="en-US"/>
        </w:rPr>
        <w:t xml:space="preserve"> of the State party.</w:t>
      </w:r>
      <w:r w:rsidRPr="004552AF">
        <w:rPr>
          <w:rStyle w:val="FootnoteReference"/>
          <w:b/>
          <w:bCs/>
          <w:lang w:val="en-US"/>
        </w:rPr>
        <w:t xml:space="preserve"> </w:t>
      </w:r>
    </w:p>
    <w:p w:rsidR="007A357A" w:rsidRPr="004552AF" w:rsidRDefault="007A357A" w:rsidP="00EF27D8">
      <w:pPr>
        <w:pStyle w:val="SingleTxtG"/>
        <w:numPr>
          <w:ilvl w:val="0"/>
          <w:numId w:val="19"/>
        </w:numPr>
        <w:tabs>
          <w:tab w:val="clear" w:pos="1637"/>
        </w:tabs>
        <w:ind w:left="1134" w:firstLine="0"/>
        <w:rPr>
          <w:lang w:val="en-US"/>
        </w:rPr>
      </w:pPr>
      <w:r w:rsidRPr="004552AF">
        <w:rPr>
          <w:lang w:val="en-US"/>
        </w:rPr>
        <w:t xml:space="preserve">Noting the functions of the Directorate for the Environment, the Committee regrets that it has not been given information on how </w:t>
      </w:r>
      <w:r w:rsidR="00874E87">
        <w:rPr>
          <w:lang w:val="en-US"/>
        </w:rPr>
        <w:t xml:space="preserve">verbal </w:t>
      </w:r>
      <w:r w:rsidRPr="004552AF">
        <w:rPr>
          <w:lang w:val="en-US"/>
        </w:rPr>
        <w:t>complaints about pollution</w:t>
      </w:r>
      <w:r w:rsidR="00874E87">
        <w:rPr>
          <w:lang w:val="en-US"/>
        </w:rPr>
        <w:t xml:space="preserve"> from</w:t>
      </w:r>
      <w:r w:rsidRPr="004552AF">
        <w:rPr>
          <w:lang w:val="en-US"/>
        </w:rPr>
        <w:t xml:space="preserve"> residents of areas </w:t>
      </w:r>
      <w:proofErr w:type="spellStart"/>
      <w:r w:rsidRPr="004552AF">
        <w:rPr>
          <w:lang w:val="en-US"/>
        </w:rPr>
        <w:t>neighbouring</w:t>
      </w:r>
      <w:proofErr w:type="spellEnd"/>
      <w:r w:rsidRPr="004552AF">
        <w:rPr>
          <w:lang w:val="en-US"/>
        </w:rPr>
        <w:t xml:space="preserve"> industrial sites </w:t>
      </w:r>
      <w:r w:rsidR="0089271E">
        <w:rPr>
          <w:lang w:val="en-US"/>
        </w:rPr>
        <w:t xml:space="preserve">should be </w:t>
      </w:r>
      <w:r w:rsidRPr="004552AF">
        <w:rPr>
          <w:lang w:val="en-US"/>
        </w:rPr>
        <w:t>dealt with (</w:t>
      </w:r>
      <w:r w:rsidR="00067C92">
        <w:rPr>
          <w:lang w:val="en-US"/>
        </w:rPr>
        <w:t>art. </w:t>
      </w:r>
      <w:r w:rsidRPr="004552AF">
        <w:rPr>
          <w:lang w:val="en-US"/>
        </w:rPr>
        <w:t>12)</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The Committee recommends that the State party</w:t>
      </w:r>
      <w:r w:rsidR="00230E91" w:rsidRPr="004552AF">
        <w:rPr>
          <w:b/>
          <w:bCs/>
          <w:lang w:val="en-US"/>
        </w:rPr>
        <w:t xml:space="preserve"> take effective measures, including engagement </w:t>
      </w:r>
      <w:r w:rsidRPr="004552AF">
        <w:rPr>
          <w:b/>
          <w:bCs/>
          <w:lang w:val="en-US"/>
        </w:rPr>
        <w:t xml:space="preserve">with residents of areas </w:t>
      </w:r>
      <w:proofErr w:type="spellStart"/>
      <w:r w:rsidRPr="004552AF">
        <w:rPr>
          <w:b/>
          <w:bCs/>
          <w:lang w:val="en-US"/>
        </w:rPr>
        <w:t>neighbouring</w:t>
      </w:r>
      <w:proofErr w:type="spellEnd"/>
      <w:r w:rsidRPr="004552AF">
        <w:rPr>
          <w:b/>
          <w:bCs/>
          <w:lang w:val="en-US"/>
        </w:rPr>
        <w:t xml:space="preserve"> industrial sites and civil society organizations</w:t>
      </w:r>
      <w:r w:rsidR="00230E91" w:rsidRPr="004552AF">
        <w:rPr>
          <w:b/>
          <w:bCs/>
          <w:lang w:val="en-US"/>
        </w:rPr>
        <w:t>,</w:t>
      </w:r>
      <w:r w:rsidRPr="004552AF">
        <w:rPr>
          <w:b/>
          <w:bCs/>
          <w:lang w:val="en-US"/>
        </w:rPr>
        <w:t xml:space="preserve"> with a view to finding solutions to their exposure to air pollution and other environmental concerns.</w:t>
      </w:r>
    </w:p>
    <w:p w:rsidR="007A357A" w:rsidRPr="004552AF" w:rsidRDefault="007A357A" w:rsidP="00EF27D8">
      <w:pPr>
        <w:pStyle w:val="SingleTxtG"/>
        <w:numPr>
          <w:ilvl w:val="0"/>
          <w:numId w:val="19"/>
        </w:numPr>
        <w:tabs>
          <w:tab w:val="clear" w:pos="1637"/>
        </w:tabs>
        <w:ind w:left="1134" w:firstLine="0"/>
        <w:rPr>
          <w:lang w:val="en-US"/>
        </w:rPr>
      </w:pPr>
      <w:r w:rsidRPr="004552AF">
        <w:rPr>
          <w:lang w:val="en-US"/>
        </w:rPr>
        <w:t xml:space="preserve">The Committee is concerned that primary education is not compulsory for non-Kuwaiti children living in the State party. The Committee is also concerned at restrictions </w:t>
      </w:r>
      <w:r w:rsidR="0089271E">
        <w:rPr>
          <w:lang w:val="en-US"/>
        </w:rPr>
        <w:t>on</w:t>
      </w:r>
      <w:r w:rsidRPr="004552AF">
        <w:rPr>
          <w:lang w:val="en-US"/>
        </w:rPr>
        <w:t xml:space="preserve"> enrolment </w:t>
      </w:r>
      <w:r w:rsidR="0089271E">
        <w:rPr>
          <w:lang w:val="en-US"/>
        </w:rPr>
        <w:t>in</w:t>
      </w:r>
      <w:r w:rsidRPr="004552AF">
        <w:rPr>
          <w:lang w:val="en-US"/>
        </w:rPr>
        <w:t xml:space="preserve"> the State party’s university (arts.</w:t>
      </w:r>
      <w:r w:rsidR="00067C92">
        <w:rPr>
          <w:lang w:val="en-US"/>
        </w:rPr>
        <w:t> </w:t>
      </w:r>
      <w:r w:rsidRPr="004552AF">
        <w:rPr>
          <w:lang w:val="en-US"/>
        </w:rPr>
        <w:t>13 and 14)</w:t>
      </w:r>
      <w:r w:rsidR="00727603">
        <w:rPr>
          <w:lang w:val="en-US"/>
        </w:rPr>
        <w:t>.</w:t>
      </w:r>
    </w:p>
    <w:p w:rsidR="007A357A" w:rsidRDefault="007A357A" w:rsidP="007A357A">
      <w:pPr>
        <w:pStyle w:val="SingleTxtG"/>
        <w:tabs>
          <w:tab w:val="left" w:pos="1701"/>
        </w:tabs>
        <w:rPr>
          <w:b/>
          <w:bCs/>
          <w:lang w:val="en-US"/>
        </w:rPr>
      </w:pPr>
      <w:r w:rsidRPr="004552AF">
        <w:rPr>
          <w:b/>
          <w:bCs/>
          <w:lang w:val="en-US"/>
        </w:rPr>
        <w:t xml:space="preserve">The Committee calls on the State party to equally apply compulsory education to non-Kuwaiti children living in the State party. The Committee also recommends that the State party ensure that higher education is made equally accessible to all, on the basis of </w:t>
      </w:r>
      <w:r w:rsidR="009B088C">
        <w:rPr>
          <w:b/>
          <w:bCs/>
          <w:lang w:val="en-US"/>
        </w:rPr>
        <w:t xml:space="preserve">personal </w:t>
      </w:r>
      <w:r w:rsidRPr="004552AF">
        <w:rPr>
          <w:b/>
          <w:bCs/>
          <w:lang w:val="en-US"/>
        </w:rPr>
        <w:t>capacity, in accordance with article 13</w:t>
      </w:r>
      <w:r w:rsidR="0089271E">
        <w:rPr>
          <w:b/>
          <w:bCs/>
          <w:lang w:val="en-US"/>
        </w:rPr>
        <w:t xml:space="preserve">, paragraph </w:t>
      </w:r>
      <w:r w:rsidRPr="004552AF">
        <w:rPr>
          <w:b/>
          <w:bCs/>
          <w:lang w:val="en-US"/>
        </w:rPr>
        <w:t>2</w:t>
      </w:r>
      <w:r w:rsidR="0089271E">
        <w:rPr>
          <w:b/>
          <w:bCs/>
          <w:lang w:val="en-US"/>
        </w:rPr>
        <w:t xml:space="preserve"> </w:t>
      </w:r>
      <w:r w:rsidRPr="004552AF">
        <w:rPr>
          <w:b/>
          <w:bCs/>
          <w:lang w:val="en-US"/>
        </w:rPr>
        <w:t>(c)</w:t>
      </w:r>
      <w:r w:rsidR="0089271E">
        <w:rPr>
          <w:b/>
          <w:bCs/>
          <w:lang w:val="en-US"/>
        </w:rPr>
        <w:t>,</w:t>
      </w:r>
      <w:r w:rsidRPr="004552AF">
        <w:rPr>
          <w:b/>
          <w:bCs/>
          <w:lang w:val="en-US"/>
        </w:rPr>
        <w:t xml:space="preserve"> of the Covenant. Moreover, the Committee recommends that the State party implement the plan to expand its higher education infrastructure and further develop its fellowship system for disadvantaged and marginalized groups</w:t>
      </w:r>
      <w:r w:rsidR="00230E91" w:rsidRPr="004552AF">
        <w:rPr>
          <w:b/>
          <w:bCs/>
          <w:lang w:val="en-US"/>
        </w:rPr>
        <w:t>,</w:t>
      </w:r>
      <w:r w:rsidRPr="004552AF">
        <w:rPr>
          <w:b/>
          <w:bCs/>
          <w:lang w:val="en-US"/>
        </w:rPr>
        <w:t xml:space="preserve"> with a view to </w:t>
      </w:r>
      <w:r w:rsidR="00230E91" w:rsidRPr="004552AF">
        <w:rPr>
          <w:b/>
          <w:bCs/>
          <w:lang w:val="en-US"/>
        </w:rPr>
        <w:t>fully achiev</w:t>
      </w:r>
      <w:r w:rsidR="003D32FD" w:rsidRPr="004552AF">
        <w:rPr>
          <w:b/>
          <w:bCs/>
          <w:lang w:val="en-US"/>
        </w:rPr>
        <w:t>ing</w:t>
      </w:r>
      <w:r w:rsidR="00230E91" w:rsidRPr="004552AF">
        <w:rPr>
          <w:b/>
          <w:bCs/>
          <w:lang w:val="en-US"/>
        </w:rPr>
        <w:t xml:space="preserve"> and secur</w:t>
      </w:r>
      <w:r w:rsidR="003D32FD" w:rsidRPr="004552AF">
        <w:rPr>
          <w:b/>
          <w:bCs/>
          <w:lang w:val="en-US"/>
        </w:rPr>
        <w:t>ing</w:t>
      </w:r>
      <w:r w:rsidR="00230E91" w:rsidRPr="004552AF">
        <w:rPr>
          <w:b/>
          <w:bCs/>
          <w:lang w:val="en-US"/>
        </w:rPr>
        <w:t xml:space="preserve"> </w:t>
      </w:r>
      <w:r w:rsidRPr="004552AF">
        <w:rPr>
          <w:b/>
          <w:bCs/>
          <w:lang w:val="en-US"/>
        </w:rPr>
        <w:t xml:space="preserve">the right to higher education for all. The Committee refers the State party to its general comment </w:t>
      </w:r>
      <w:r w:rsidR="00067C92">
        <w:rPr>
          <w:b/>
          <w:bCs/>
          <w:lang w:val="en-US"/>
        </w:rPr>
        <w:t>No. </w:t>
      </w:r>
      <w:r w:rsidRPr="004552AF">
        <w:rPr>
          <w:b/>
          <w:bCs/>
          <w:lang w:val="en-US"/>
        </w:rPr>
        <w:t>13 (1999) on the right to education.</w:t>
      </w:r>
    </w:p>
    <w:p w:rsidR="00F01872" w:rsidRDefault="00373347" w:rsidP="00EF27D8">
      <w:pPr>
        <w:pStyle w:val="SingleTxtG"/>
        <w:numPr>
          <w:ilvl w:val="0"/>
          <w:numId w:val="19"/>
        </w:numPr>
        <w:tabs>
          <w:tab w:val="clear" w:pos="1637"/>
        </w:tabs>
        <w:ind w:left="1134" w:firstLine="0"/>
        <w:rPr>
          <w:bCs/>
          <w:lang w:val="en-US"/>
        </w:rPr>
      </w:pPr>
      <w:r>
        <w:rPr>
          <w:bCs/>
          <w:lang w:val="en-US"/>
        </w:rPr>
        <w:t xml:space="preserve">The Committee </w:t>
      </w:r>
      <w:r w:rsidR="00857188">
        <w:rPr>
          <w:bCs/>
          <w:lang w:val="en-US"/>
        </w:rPr>
        <w:t>regrets</w:t>
      </w:r>
      <w:r>
        <w:rPr>
          <w:bCs/>
          <w:lang w:val="en-US"/>
        </w:rPr>
        <w:t xml:space="preserve"> that human rights </w:t>
      </w:r>
      <w:r w:rsidR="00997046">
        <w:rPr>
          <w:bCs/>
          <w:lang w:val="en-US"/>
        </w:rPr>
        <w:t>have not been</w:t>
      </w:r>
      <w:r w:rsidR="00857188">
        <w:rPr>
          <w:bCs/>
          <w:lang w:val="en-US"/>
        </w:rPr>
        <w:t xml:space="preserve"> included in </w:t>
      </w:r>
      <w:r w:rsidR="005572CB">
        <w:rPr>
          <w:bCs/>
          <w:lang w:val="en-US"/>
        </w:rPr>
        <w:t xml:space="preserve">school </w:t>
      </w:r>
      <w:r w:rsidR="00857188">
        <w:rPr>
          <w:bCs/>
          <w:lang w:val="en-US"/>
        </w:rPr>
        <w:t>curricula</w:t>
      </w:r>
      <w:r>
        <w:rPr>
          <w:bCs/>
          <w:lang w:val="en-US"/>
        </w:rPr>
        <w:t xml:space="preserve"> </w:t>
      </w:r>
      <w:r w:rsidR="005572CB">
        <w:rPr>
          <w:bCs/>
          <w:lang w:val="en-US"/>
        </w:rPr>
        <w:t>at</w:t>
      </w:r>
      <w:r>
        <w:rPr>
          <w:bCs/>
          <w:lang w:val="en-US"/>
        </w:rPr>
        <w:t xml:space="preserve"> all levels of education in the State party</w:t>
      </w:r>
      <w:r w:rsidRPr="00373347">
        <w:rPr>
          <w:bCs/>
          <w:lang w:val="en-US"/>
        </w:rPr>
        <w:t xml:space="preserve"> </w:t>
      </w:r>
      <w:r>
        <w:rPr>
          <w:bCs/>
          <w:lang w:val="en-US"/>
        </w:rPr>
        <w:t>(</w:t>
      </w:r>
      <w:r w:rsidR="00067C92">
        <w:rPr>
          <w:bCs/>
          <w:lang w:val="en-US"/>
        </w:rPr>
        <w:t>art. </w:t>
      </w:r>
      <w:r>
        <w:rPr>
          <w:bCs/>
          <w:lang w:val="en-US"/>
        </w:rPr>
        <w:t>13)</w:t>
      </w:r>
      <w:r w:rsidR="00727603">
        <w:rPr>
          <w:bCs/>
          <w:lang w:val="en-US"/>
        </w:rPr>
        <w:t>.</w:t>
      </w:r>
    </w:p>
    <w:p w:rsidR="00B71042" w:rsidRPr="004552AF" w:rsidRDefault="00B71042" w:rsidP="00B71042">
      <w:pPr>
        <w:pStyle w:val="SingleTxtG"/>
        <w:tabs>
          <w:tab w:val="left" w:pos="1701"/>
        </w:tabs>
        <w:rPr>
          <w:b/>
          <w:bCs/>
          <w:lang w:val="en-US"/>
        </w:rPr>
      </w:pPr>
      <w:r w:rsidRPr="00406C30">
        <w:rPr>
          <w:b/>
          <w:bCs/>
          <w:lang w:val="en-US"/>
        </w:rPr>
        <w:t>The Committee recommends that</w:t>
      </w:r>
      <w:r w:rsidR="009B7252">
        <w:rPr>
          <w:b/>
          <w:bCs/>
          <w:lang w:val="en-US"/>
        </w:rPr>
        <w:t xml:space="preserve"> the State party ensure that</w:t>
      </w:r>
      <w:r w:rsidRPr="00406C30">
        <w:rPr>
          <w:b/>
          <w:bCs/>
          <w:lang w:val="en-US"/>
        </w:rPr>
        <w:t xml:space="preserve"> human rights </w:t>
      </w:r>
      <w:r w:rsidR="0089271E">
        <w:rPr>
          <w:b/>
          <w:bCs/>
          <w:lang w:val="en-US"/>
        </w:rPr>
        <w:t>is</w:t>
      </w:r>
      <w:r w:rsidR="00857188">
        <w:rPr>
          <w:b/>
          <w:bCs/>
          <w:lang w:val="en-US"/>
        </w:rPr>
        <w:t xml:space="preserve"> taught at </w:t>
      </w:r>
      <w:r w:rsidRPr="00406C30">
        <w:rPr>
          <w:b/>
          <w:bCs/>
          <w:lang w:val="en-US"/>
        </w:rPr>
        <w:t>all levels of education.</w:t>
      </w:r>
    </w:p>
    <w:p w:rsidR="007A357A" w:rsidRPr="004552AF" w:rsidRDefault="007A357A" w:rsidP="00EF27D8">
      <w:pPr>
        <w:pStyle w:val="SingleTxtG"/>
        <w:numPr>
          <w:ilvl w:val="0"/>
          <w:numId w:val="19"/>
        </w:numPr>
        <w:tabs>
          <w:tab w:val="clear" w:pos="1637"/>
        </w:tabs>
        <w:ind w:left="1134" w:firstLine="0"/>
        <w:rPr>
          <w:lang w:val="en-US"/>
        </w:rPr>
      </w:pPr>
      <w:r w:rsidRPr="004552AF">
        <w:rPr>
          <w:lang w:val="en-US"/>
        </w:rPr>
        <w:t xml:space="preserve">In </w:t>
      </w:r>
      <w:r w:rsidR="0089271E">
        <w:rPr>
          <w:lang w:val="en-US"/>
        </w:rPr>
        <w:t>light</w:t>
      </w:r>
      <w:r w:rsidRPr="004552AF">
        <w:rPr>
          <w:lang w:val="en-US"/>
        </w:rPr>
        <w:t xml:space="preserve"> of the cultural diversity in the State party, the Committee </w:t>
      </w:r>
      <w:r w:rsidR="00373347">
        <w:rPr>
          <w:lang w:val="en-US"/>
        </w:rPr>
        <w:t>is concerned</w:t>
      </w:r>
      <w:r w:rsidRPr="004552AF">
        <w:rPr>
          <w:lang w:val="en-US"/>
        </w:rPr>
        <w:t xml:space="preserve"> a</w:t>
      </w:r>
      <w:r w:rsidR="00373347">
        <w:rPr>
          <w:lang w:val="en-US"/>
        </w:rPr>
        <w:t>bou</w:t>
      </w:r>
      <w:r w:rsidRPr="004552AF">
        <w:rPr>
          <w:lang w:val="en-US"/>
        </w:rPr>
        <w:t xml:space="preserve">t the lack of recognition of </w:t>
      </w:r>
      <w:r w:rsidR="00373347">
        <w:rPr>
          <w:lang w:val="en-US"/>
        </w:rPr>
        <w:t xml:space="preserve">the right of </w:t>
      </w:r>
      <w:r w:rsidRPr="004552AF">
        <w:rPr>
          <w:lang w:val="en-US"/>
        </w:rPr>
        <w:t>minorit</w:t>
      </w:r>
      <w:r w:rsidR="00373347">
        <w:rPr>
          <w:lang w:val="en-US"/>
        </w:rPr>
        <w:t xml:space="preserve">ies, </w:t>
      </w:r>
      <w:r w:rsidR="00667560">
        <w:rPr>
          <w:lang w:val="en-US"/>
        </w:rPr>
        <w:t xml:space="preserve">minority </w:t>
      </w:r>
      <w:r w:rsidR="00373347">
        <w:rPr>
          <w:lang w:val="en-US"/>
        </w:rPr>
        <w:t>communities and groups to express their cultural identity</w:t>
      </w:r>
      <w:r w:rsidRPr="004552AF">
        <w:rPr>
          <w:lang w:val="en-US"/>
        </w:rPr>
        <w:t xml:space="preserve"> (</w:t>
      </w:r>
      <w:r w:rsidR="00067C92">
        <w:rPr>
          <w:lang w:val="en-US"/>
        </w:rPr>
        <w:t>art. </w:t>
      </w:r>
      <w:r w:rsidRPr="004552AF">
        <w:rPr>
          <w:lang w:val="en-US"/>
        </w:rPr>
        <w:t>15)</w:t>
      </w:r>
      <w:r w:rsidR="00727603">
        <w:rPr>
          <w:lang w:val="en-US"/>
        </w:rPr>
        <w:t>.</w:t>
      </w:r>
    </w:p>
    <w:p w:rsidR="007A357A" w:rsidRPr="004552AF" w:rsidRDefault="007A357A" w:rsidP="007A357A">
      <w:pPr>
        <w:pStyle w:val="SingleTxtG"/>
        <w:tabs>
          <w:tab w:val="left" w:pos="1701"/>
        </w:tabs>
        <w:rPr>
          <w:b/>
          <w:bCs/>
          <w:lang w:val="en-US"/>
        </w:rPr>
      </w:pPr>
      <w:r w:rsidRPr="00373347">
        <w:rPr>
          <w:b/>
          <w:bCs/>
          <w:lang w:val="en-US"/>
        </w:rPr>
        <w:t xml:space="preserve">The Committee recommends that the State party develop a legislative framework which defines and recognizes </w:t>
      </w:r>
      <w:r w:rsidR="00AB678D">
        <w:rPr>
          <w:b/>
          <w:bCs/>
          <w:lang w:val="en-US"/>
        </w:rPr>
        <w:t xml:space="preserve">that </w:t>
      </w:r>
      <w:r w:rsidRPr="00373347">
        <w:rPr>
          <w:b/>
          <w:bCs/>
          <w:lang w:val="en-US"/>
        </w:rPr>
        <w:t>minorities</w:t>
      </w:r>
      <w:r w:rsidR="00373347" w:rsidRPr="00406C30">
        <w:rPr>
          <w:b/>
          <w:bCs/>
          <w:lang w:val="en-US"/>
        </w:rPr>
        <w:t xml:space="preserve">, </w:t>
      </w:r>
      <w:r w:rsidR="00AB678D">
        <w:rPr>
          <w:b/>
          <w:bCs/>
          <w:lang w:val="en-US"/>
        </w:rPr>
        <w:t xml:space="preserve">minority </w:t>
      </w:r>
      <w:r w:rsidR="00373347" w:rsidRPr="00406C30">
        <w:rPr>
          <w:b/>
          <w:bCs/>
          <w:lang w:val="en-US"/>
        </w:rPr>
        <w:t xml:space="preserve">communities and groups, </w:t>
      </w:r>
      <w:r w:rsidRPr="00373347">
        <w:rPr>
          <w:b/>
          <w:bCs/>
          <w:lang w:val="en-US"/>
        </w:rPr>
        <w:t>among others</w:t>
      </w:r>
      <w:r w:rsidR="00AB678D">
        <w:rPr>
          <w:b/>
          <w:bCs/>
          <w:lang w:val="en-US"/>
        </w:rPr>
        <w:t>, have</w:t>
      </w:r>
      <w:r w:rsidR="0089271E">
        <w:rPr>
          <w:b/>
          <w:bCs/>
          <w:lang w:val="en-US"/>
        </w:rPr>
        <w:t>:</w:t>
      </w:r>
      <w:r w:rsidRPr="00373347">
        <w:rPr>
          <w:b/>
          <w:bCs/>
          <w:lang w:val="en-US"/>
        </w:rPr>
        <w:t xml:space="preserve"> (a) the right to freely choose their own cultural identity and to belong or not to a community and have their choice respected; (b) the right to conserve, promote and develop their own culture; and (c) the right to cultural diversity, traditions, customs, religion, languages and other manifestations of cultural identity and membership.</w:t>
      </w:r>
      <w:r w:rsidRPr="004552AF">
        <w:rPr>
          <w:b/>
          <w:bCs/>
          <w:lang w:val="en-US"/>
        </w:rPr>
        <w:t xml:space="preserve"> The Committee refers the State party to its general comment </w:t>
      </w:r>
      <w:r w:rsidR="00067C92">
        <w:rPr>
          <w:b/>
          <w:bCs/>
          <w:lang w:val="en-US"/>
        </w:rPr>
        <w:t>No. </w:t>
      </w:r>
      <w:r w:rsidRPr="004552AF">
        <w:rPr>
          <w:b/>
          <w:bCs/>
          <w:lang w:val="en-US"/>
        </w:rPr>
        <w:t>21 (2009) on the right of everyone to take part in cultural life.</w:t>
      </w:r>
    </w:p>
    <w:p w:rsidR="007A357A" w:rsidRPr="004552AF" w:rsidRDefault="007A357A" w:rsidP="00EF27D8">
      <w:pPr>
        <w:pStyle w:val="SingleTxtG"/>
        <w:numPr>
          <w:ilvl w:val="0"/>
          <w:numId w:val="19"/>
        </w:numPr>
        <w:tabs>
          <w:tab w:val="clear" w:pos="1637"/>
        </w:tabs>
        <w:ind w:left="1134" w:firstLine="0"/>
        <w:rPr>
          <w:lang w:val="en-US"/>
        </w:rPr>
      </w:pPr>
      <w:r w:rsidRPr="004552AF">
        <w:rPr>
          <w:lang w:val="en-US"/>
        </w:rPr>
        <w:t xml:space="preserve">Noting that the State party has taken steps for the protection of the archaeological sites on </w:t>
      </w:r>
      <w:proofErr w:type="spellStart"/>
      <w:smartTag w:uri="urn:schemas-microsoft-com:office:smarttags" w:element="place">
        <w:smartTag w:uri="urn:schemas-microsoft-com:office:smarttags" w:element="PlaceName">
          <w:r w:rsidRPr="004552AF">
            <w:rPr>
              <w:lang w:val="en-US"/>
            </w:rPr>
            <w:t>Failaka</w:t>
          </w:r>
        </w:smartTag>
        <w:proofErr w:type="spellEnd"/>
        <w:r w:rsidRPr="004552AF">
          <w:rPr>
            <w:lang w:val="en-US"/>
          </w:rPr>
          <w:t xml:space="preserve"> </w:t>
        </w:r>
        <w:smartTag w:uri="urn:schemas-microsoft-com:office:smarttags" w:element="PlaceType">
          <w:r w:rsidRPr="004552AF">
            <w:rPr>
              <w:lang w:val="en-US"/>
            </w:rPr>
            <w:t>Island</w:t>
          </w:r>
        </w:smartTag>
      </w:smartTag>
      <w:r w:rsidRPr="004552AF">
        <w:rPr>
          <w:lang w:val="en-US"/>
        </w:rPr>
        <w:t xml:space="preserve">, the Committee is </w:t>
      </w:r>
      <w:r w:rsidR="00EE3678" w:rsidRPr="004552AF">
        <w:rPr>
          <w:lang w:val="en-US"/>
        </w:rPr>
        <w:t xml:space="preserve">nevertheless </w:t>
      </w:r>
      <w:r w:rsidRPr="004552AF">
        <w:rPr>
          <w:lang w:val="en-US"/>
        </w:rPr>
        <w:t xml:space="preserve">concerned at the risk posed by development projects </w:t>
      </w:r>
      <w:r w:rsidR="00DC206F">
        <w:rPr>
          <w:lang w:val="en-US"/>
        </w:rPr>
        <w:t>to</w:t>
      </w:r>
      <w:r w:rsidR="00EE3678" w:rsidRPr="004552AF">
        <w:rPr>
          <w:lang w:val="en-US"/>
        </w:rPr>
        <w:t xml:space="preserve"> the preservation of</w:t>
      </w:r>
      <w:r w:rsidRPr="004552AF">
        <w:rPr>
          <w:lang w:val="en-US"/>
        </w:rPr>
        <w:t xml:space="preserve"> other archaeological sites in the State party. The Committee is also concerned at reports of limited access to cultural goods such as historical sites and artifacts (</w:t>
      </w:r>
      <w:r w:rsidR="00067C92">
        <w:rPr>
          <w:lang w:val="en-US"/>
        </w:rPr>
        <w:t>art. </w:t>
      </w:r>
      <w:r w:rsidRPr="004552AF">
        <w:rPr>
          <w:lang w:val="en-US"/>
        </w:rPr>
        <w:t>15)</w:t>
      </w:r>
      <w:r w:rsidR="00727603">
        <w:rPr>
          <w:lang w:val="en-US"/>
        </w:rPr>
        <w:t>.</w:t>
      </w:r>
    </w:p>
    <w:p w:rsidR="007A357A" w:rsidRPr="004552AF" w:rsidRDefault="007A357A" w:rsidP="007A357A">
      <w:pPr>
        <w:pStyle w:val="SingleTxtG"/>
        <w:tabs>
          <w:tab w:val="left" w:pos="1701"/>
        </w:tabs>
        <w:rPr>
          <w:b/>
          <w:bCs/>
          <w:lang w:val="en-US"/>
        </w:rPr>
      </w:pPr>
      <w:r w:rsidRPr="004552AF">
        <w:rPr>
          <w:b/>
          <w:bCs/>
          <w:lang w:val="en-US"/>
        </w:rPr>
        <w:t>The Committee recommends that the State party take measures for the proper implementation of relevant laws and regulations aimed at the protection of historical sites</w:t>
      </w:r>
      <w:r w:rsidR="00DC206F">
        <w:rPr>
          <w:b/>
          <w:bCs/>
          <w:lang w:val="en-US"/>
        </w:rPr>
        <w:t>,</w:t>
      </w:r>
      <w:r w:rsidRPr="004552AF">
        <w:rPr>
          <w:b/>
          <w:bCs/>
          <w:lang w:val="en-US"/>
        </w:rPr>
        <w:t xml:space="preserve"> and undertake systematic assessment of the impact of development projects on their conservation. The Committee also recommends that the State party facilitate and promote </w:t>
      </w:r>
      <w:r w:rsidR="00230E91" w:rsidRPr="004552AF">
        <w:rPr>
          <w:b/>
          <w:bCs/>
          <w:lang w:val="en-US"/>
        </w:rPr>
        <w:t xml:space="preserve">effective </w:t>
      </w:r>
      <w:r w:rsidRPr="004552AF">
        <w:rPr>
          <w:b/>
          <w:bCs/>
          <w:lang w:val="en-US"/>
        </w:rPr>
        <w:t>access to the State party’s cultural heritage by the general population.</w:t>
      </w:r>
    </w:p>
    <w:p w:rsidR="007A357A" w:rsidRPr="00EF27D8" w:rsidRDefault="007A357A" w:rsidP="00EF27D8">
      <w:pPr>
        <w:pStyle w:val="SingleTxtG"/>
        <w:numPr>
          <w:ilvl w:val="0"/>
          <w:numId w:val="19"/>
        </w:numPr>
        <w:tabs>
          <w:tab w:val="clear" w:pos="1637"/>
        </w:tabs>
        <w:ind w:left="1134" w:firstLine="0"/>
      </w:pPr>
      <w:r w:rsidRPr="004552AF">
        <w:rPr>
          <w:lang w:val="en-US"/>
        </w:rPr>
        <w:t xml:space="preserve">The Committee is concerned at </w:t>
      </w:r>
      <w:r w:rsidR="002B2C0F" w:rsidRPr="004552AF">
        <w:rPr>
          <w:lang w:val="en-US"/>
        </w:rPr>
        <w:t xml:space="preserve">measures taken by </w:t>
      </w:r>
      <w:r w:rsidRPr="004552AF">
        <w:rPr>
          <w:lang w:val="en-US"/>
        </w:rPr>
        <w:t>the State party</w:t>
      </w:r>
      <w:r w:rsidR="002B2C0F" w:rsidRPr="004552AF">
        <w:rPr>
          <w:lang w:val="en-US"/>
        </w:rPr>
        <w:t xml:space="preserve"> which may </w:t>
      </w:r>
      <w:r w:rsidR="002B2C0F" w:rsidRPr="00EF27D8">
        <w:t xml:space="preserve">constitute </w:t>
      </w:r>
      <w:r w:rsidRPr="00EF27D8">
        <w:t xml:space="preserve">censorship </w:t>
      </w:r>
      <w:r w:rsidR="00DC206F">
        <w:t>of</w:t>
      </w:r>
      <w:r w:rsidRPr="00EF27D8">
        <w:t xml:space="preserve"> the enjoyment of the right to take part in cultural life (</w:t>
      </w:r>
      <w:r w:rsidR="00067C92" w:rsidRPr="00EF27D8">
        <w:t>art. </w:t>
      </w:r>
      <w:r w:rsidRPr="00EF27D8">
        <w:t>15)</w:t>
      </w:r>
      <w:r w:rsidR="00727603">
        <w:t>.</w:t>
      </w:r>
    </w:p>
    <w:p w:rsidR="007A357A" w:rsidRPr="004552AF" w:rsidRDefault="007A357A" w:rsidP="00067C92">
      <w:pPr>
        <w:pStyle w:val="SingleTxtG"/>
        <w:tabs>
          <w:tab w:val="left" w:pos="1701"/>
        </w:tabs>
        <w:rPr>
          <w:b/>
          <w:bCs/>
          <w:lang w:val="en-US"/>
        </w:rPr>
      </w:pPr>
      <w:r w:rsidRPr="004552AF">
        <w:rPr>
          <w:b/>
          <w:bCs/>
          <w:lang w:val="en-US"/>
        </w:rPr>
        <w:t>The Committee recommends that the State party ensure that the exercise of rights such as freedom of thought, conscience and religion</w:t>
      </w:r>
      <w:r w:rsidR="00DC206F">
        <w:rPr>
          <w:b/>
          <w:bCs/>
          <w:lang w:val="en-US"/>
        </w:rPr>
        <w:t>,</w:t>
      </w:r>
      <w:r w:rsidRPr="004552AF">
        <w:rPr>
          <w:b/>
          <w:bCs/>
          <w:lang w:val="en-US"/>
        </w:rPr>
        <w:t xml:space="preserve"> freedom of opinion and expression are not unduly limited by censorship in the context of the right to take part in cultural life.</w:t>
      </w:r>
      <w:r w:rsidR="00067C92">
        <w:rPr>
          <w:b/>
          <w:bCs/>
          <w:lang w:val="en-US"/>
        </w:rPr>
        <w:t xml:space="preserve"> </w:t>
      </w:r>
      <w:r w:rsidRPr="004552AF">
        <w:rPr>
          <w:b/>
          <w:bCs/>
          <w:lang w:val="en-US"/>
        </w:rPr>
        <w:t xml:space="preserve">Moreover, in view of the absence of specific criteria of what is understood as </w:t>
      </w:r>
      <w:r w:rsidR="00067C92">
        <w:rPr>
          <w:b/>
          <w:bCs/>
          <w:lang w:val="en-US"/>
        </w:rPr>
        <w:t>“</w:t>
      </w:r>
      <w:r w:rsidRPr="004552AF">
        <w:rPr>
          <w:b/>
          <w:bCs/>
          <w:lang w:val="en-US"/>
        </w:rPr>
        <w:t>public ethics and morals,</w:t>
      </w:r>
      <w:r w:rsidR="00067C92">
        <w:rPr>
          <w:b/>
          <w:bCs/>
          <w:lang w:val="en-US"/>
        </w:rPr>
        <w:t>”</w:t>
      </w:r>
      <w:r w:rsidRPr="004552AF">
        <w:rPr>
          <w:b/>
          <w:bCs/>
          <w:lang w:val="en-US"/>
        </w:rPr>
        <w:t xml:space="preserve"> the Committee recommends that censorship decisions be made by courts so as to avoid arbitrary decisions. The Committee refers the State party to paragraphs 17 to 20 of </w:t>
      </w:r>
      <w:r w:rsidR="008F31D1">
        <w:rPr>
          <w:b/>
          <w:bCs/>
          <w:lang w:val="en-US"/>
        </w:rPr>
        <w:t xml:space="preserve">its </w:t>
      </w:r>
      <w:r w:rsidRPr="004552AF">
        <w:rPr>
          <w:b/>
          <w:bCs/>
          <w:lang w:val="en-US"/>
        </w:rPr>
        <w:t xml:space="preserve">general comment </w:t>
      </w:r>
      <w:r w:rsidR="00067C92">
        <w:rPr>
          <w:b/>
          <w:bCs/>
          <w:lang w:val="en-US"/>
        </w:rPr>
        <w:t>No. </w:t>
      </w:r>
      <w:r w:rsidRPr="004552AF">
        <w:rPr>
          <w:b/>
          <w:bCs/>
          <w:lang w:val="en-US"/>
        </w:rPr>
        <w:t>21 (2009) on the right of everyone to take part in cultural life.</w:t>
      </w:r>
    </w:p>
    <w:p w:rsidR="0023637F" w:rsidRPr="00C77EB4" w:rsidRDefault="0023637F" w:rsidP="00EF27D8">
      <w:pPr>
        <w:pStyle w:val="SingleTxtG"/>
        <w:numPr>
          <w:ilvl w:val="0"/>
          <w:numId w:val="19"/>
        </w:numPr>
        <w:tabs>
          <w:tab w:val="clear" w:pos="1637"/>
        </w:tabs>
        <w:ind w:left="1134" w:firstLine="0"/>
        <w:rPr>
          <w:b/>
        </w:rPr>
      </w:pPr>
      <w:r w:rsidRPr="00C77EB4">
        <w:rPr>
          <w:b/>
        </w:rPr>
        <w:t>The Committee recommends that the State party increase efforts to provide international assistance to developing countries</w:t>
      </w:r>
      <w:r w:rsidR="009B088C" w:rsidRPr="00C77EB4">
        <w:rPr>
          <w:b/>
        </w:rPr>
        <w:t xml:space="preserve"> to a level commensurate with its resources</w:t>
      </w:r>
      <w:r w:rsidR="008F31D1">
        <w:rPr>
          <w:b/>
        </w:rPr>
        <w:t xml:space="preserve"> and</w:t>
      </w:r>
      <w:r w:rsidR="009B088C" w:rsidRPr="00C77EB4">
        <w:rPr>
          <w:b/>
        </w:rPr>
        <w:t xml:space="preserve"> in fulfilment of its international obligation</w:t>
      </w:r>
      <w:r w:rsidR="008F31D1">
        <w:rPr>
          <w:b/>
        </w:rPr>
        <w:t>s</w:t>
      </w:r>
      <w:r w:rsidR="009B088C" w:rsidRPr="00C77EB4">
        <w:rPr>
          <w:b/>
        </w:rPr>
        <w:t xml:space="preserve"> under the Covenant to promote </w:t>
      </w:r>
      <w:r w:rsidR="00F01872" w:rsidRPr="00C77EB4">
        <w:rPr>
          <w:b/>
        </w:rPr>
        <w:t xml:space="preserve">the </w:t>
      </w:r>
      <w:r w:rsidR="009B088C" w:rsidRPr="00C77EB4">
        <w:rPr>
          <w:b/>
        </w:rPr>
        <w:t>enjoyment of economic, social and cultural rights.</w:t>
      </w:r>
    </w:p>
    <w:p w:rsidR="007A357A" w:rsidRPr="00C77EB4" w:rsidRDefault="007A357A" w:rsidP="00EF27D8">
      <w:pPr>
        <w:pStyle w:val="SingleTxtG"/>
        <w:numPr>
          <w:ilvl w:val="0"/>
          <w:numId w:val="19"/>
        </w:numPr>
        <w:tabs>
          <w:tab w:val="clear" w:pos="1637"/>
        </w:tabs>
        <w:ind w:left="1134" w:firstLine="0"/>
        <w:rPr>
          <w:b/>
        </w:rPr>
      </w:pPr>
      <w:r w:rsidRPr="00C77EB4">
        <w:rPr>
          <w:b/>
        </w:rPr>
        <w:t xml:space="preserve">The </w:t>
      </w:r>
      <w:r w:rsidRPr="00C77EB4">
        <w:rPr>
          <w:b/>
          <w:lang w:val="en-US"/>
        </w:rPr>
        <w:t>Committee</w:t>
      </w:r>
      <w:r w:rsidRPr="00C77EB4">
        <w:rPr>
          <w:b/>
        </w:rPr>
        <w:t xml:space="preserve"> encourages the State party to consider signing and ratifying the Optional Protocol to the International Covenant on Economic, Social and Cultural Rights. </w:t>
      </w:r>
    </w:p>
    <w:p w:rsidR="006C7CA2" w:rsidRPr="00C77EB4" w:rsidRDefault="007A357A" w:rsidP="0092187A">
      <w:pPr>
        <w:pStyle w:val="SingleTxtG"/>
        <w:numPr>
          <w:ilvl w:val="0"/>
          <w:numId w:val="19"/>
        </w:numPr>
        <w:tabs>
          <w:tab w:val="left" w:pos="1701"/>
        </w:tabs>
        <w:ind w:left="1134" w:firstLine="0"/>
        <w:rPr>
          <w:b/>
        </w:rPr>
      </w:pPr>
      <w:r w:rsidRPr="00C77EB4">
        <w:rPr>
          <w:b/>
        </w:rPr>
        <w:t>The Committee requests the State party to disseminate the</w:t>
      </w:r>
      <w:r w:rsidR="008F31D1">
        <w:rPr>
          <w:b/>
        </w:rPr>
        <w:t xml:space="preserve"> present</w:t>
      </w:r>
      <w:r w:rsidRPr="00C77EB4">
        <w:rPr>
          <w:b/>
        </w:rPr>
        <w:t xml:space="preserve"> concluding observations widely at all levels of society, particularly among public officials, judicial authorities and civil society organizations, and to inform the Committee in its next periodic report on the steps taken to implement them. </w:t>
      </w:r>
    </w:p>
    <w:p w:rsidR="007A357A" w:rsidRPr="00C77EB4" w:rsidRDefault="007A357A" w:rsidP="00EF27D8">
      <w:pPr>
        <w:pStyle w:val="SingleTxtG"/>
        <w:numPr>
          <w:ilvl w:val="0"/>
          <w:numId w:val="19"/>
        </w:numPr>
        <w:tabs>
          <w:tab w:val="clear" w:pos="1637"/>
        </w:tabs>
        <w:ind w:left="1134" w:firstLine="0"/>
        <w:rPr>
          <w:b/>
        </w:rPr>
      </w:pPr>
      <w:r w:rsidRPr="00C77EB4">
        <w:rPr>
          <w:b/>
        </w:rPr>
        <w:t xml:space="preserve">The Committee encourages the State party to engage civil society organizations in </w:t>
      </w:r>
      <w:r w:rsidR="004334DB" w:rsidRPr="00C77EB4">
        <w:rPr>
          <w:b/>
        </w:rPr>
        <w:t>constructive cooperation in order to implement</w:t>
      </w:r>
      <w:r w:rsidRPr="00C77EB4">
        <w:rPr>
          <w:b/>
        </w:rPr>
        <w:t xml:space="preserve"> the</w:t>
      </w:r>
      <w:r w:rsidR="008F31D1">
        <w:rPr>
          <w:b/>
        </w:rPr>
        <w:t xml:space="preserve"> present</w:t>
      </w:r>
      <w:r w:rsidRPr="00C77EB4">
        <w:rPr>
          <w:b/>
        </w:rPr>
        <w:t xml:space="preserve"> concluding observations</w:t>
      </w:r>
      <w:r w:rsidR="008F31D1">
        <w:rPr>
          <w:b/>
        </w:rPr>
        <w:t xml:space="preserve"> at the national level,</w:t>
      </w:r>
      <w:r w:rsidRPr="00C77EB4">
        <w:rPr>
          <w:b/>
        </w:rPr>
        <w:t xml:space="preserve"> </w:t>
      </w:r>
      <w:r w:rsidR="004334DB" w:rsidRPr="00C77EB4">
        <w:rPr>
          <w:b/>
        </w:rPr>
        <w:t xml:space="preserve">as well as for the preparation </w:t>
      </w:r>
      <w:r w:rsidRPr="00C77EB4">
        <w:rPr>
          <w:b/>
        </w:rPr>
        <w:t xml:space="preserve">and submission of its next periodic report. </w:t>
      </w:r>
    </w:p>
    <w:p w:rsidR="007A357A" w:rsidRPr="00C77EB4" w:rsidRDefault="007A357A" w:rsidP="00EF27D8">
      <w:pPr>
        <w:pStyle w:val="SingleTxtG"/>
        <w:numPr>
          <w:ilvl w:val="0"/>
          <w:numId w:val="19"/>
        </w:numPr>
        <w:tabs>
          <w:tab w:val="clear" w:pos="1637"/>
        </w:tabs>
        <w:ind w:left="1134" w:firstLine="0"/>
        <w:rPr>
          <w:b/>
        </w:rPr>
      </w:pPr>
      <w:r w:rsidRPr="00C77EB4">
        <w:rPr>
          <w:b/>
        </w:rPr>
        <w:t>The Committee invites the State party to update, as necessary,</w:t>
      </w:r>
      <w:r w:rsidR="006C7CA2" w:rsidRPr="00C77EB4">
        <w:rPr>
          <w:b/>
        </w:rPr>
        <w:t xml:space="preserve"> </w:t>
      </w:r>
      <w:r w:rsidRPr="00C77EB4">
        <w:rPr>
          <w:b/>
        </w:rPr>
        <w:t>its core document in accordance with the harmonized guidelines on reporting under the international human rights treaties (HRI/GEN/2/Rev.6</w:t>
      </w:r>
      <w:r w:rsidR="008F31D1">
        <w:rPr>
          <w:b/>
        </w:rPr>
        <w:t>, chap. I</w:t>
      </w:r>
      <w:r w:rsidRPr="00C77EB4">
        <w:rPr>
          <w:b/>
        </w:rPr>
        <w:t>).</w:t>
      </w:r>
    </w:p>
    <w:p w:rsidR="001C6663" w:rsidRPr="00C77EB4" w:rsidRDefault="007A357A" w:rsidP="00EF27D8">
      <w:pPr>
        <w:pStyle w:val="SingleTxtG"/>
        <w:numPr>
          <w:ilvl w:val="0"/>
          <w:numId w:val="19"/>
        </w:numPr>
        <w:tabs>
          <w:tab w:val="clear" w:pos="1637"/>
        </w:tabs>
        <w:ind w:left="1134" w:firstLine="0"/>
        <w:rPr>
          <w:b/>
        </w:rPr>
      </w:pPr>
      <w:r w:rsidRPr="00C77EB4">
        <w:rPr>
          <w:b/>
        </w:rPr>
        <w:t xml:space="preserve">The Committee requests the State party to submit its </w:t>
      </w:r>
      <w:r w:rsidR="00406C30" w:rsidRPr="00C77EB4">
        <w:rPr>
          <w:b/>
        </w:rPr>
        <w:t xml:space="preserve">third </w:t>
      </w:r>
      <w:r w:rsidRPr="00C77EB4">
        <w:rPr>
          <w:b/>
        </w:rPr>
        <w:t>periodic report in accordance with the guidelines adopted by the Committee in 2008 (E/C.12/2008/2), by 30 November 2018.</w:t>
      </w:r>
    </w:p>
    <w:p w:rsidR="007A357A" w:rsidRPr="007A357A" w:rsidRDefault="007A357A" w:rsidP="007A357A">
      <w:pPr>
        <w:pStyle w:val="SingleTxtG"/>
        <w:tabs>
          <w:tab w:val="left" w:pos="1701"/>
        </w:tabs>
        <w:spacing w:before="240" w:after="0"/>
        <w:jc w:val="center"/>
        <w:rPr>
          <w:u w:val="single"/>
        </w:rPr>
      </w:pPr>
      <w:r>
        <w:rPr>
          <w:u w:val="single"/>
        </w:rPr>
        <w:tab/>
      </w:r>
      <w:r>
        <w:rPr>
          <w:u w:val="single"/>
        </w:rPr>
        <w:tab/>
      </w:r>
      <w:r>
        <w:rPr>
          <w:u w:val="single"/>
        </w:rPr>
        <w:tab/>
      </w:r>
    </w:p>
    <w:sectPr w:rsidR="007A357A" w:rsidRPr="007A357A" w:rsidSect="007A357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491" w:rsidRDefault="00D90491"/>
  </w:endnote>
  <w:endnote w:type="continuationSeparator" w:id="0">
    <w:p w:rsidR="00D90491" w:rsidRDefault="00D90491"/>
  </w:endnote>
  <w:endnote w:type="continuationNotice" w:id="1">
    <w:p w:rsidR="00D90491" w:rsidRDefault="00D9049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1" w:rsidRPr="007A357A" w:rsidRDefault="00D90491" w:rsidP="007A357A">
    <w:pPr>
      <w:pStyle w:val="Footer"/>
      <w:tabs>
        <w:tab w:val="right" w:pos="9638"/>
      </w:tabs>
    </w:pPr>
    <w:r w:rsidRPr="007A357A">
      <w:rPr>
        <w:b/>
        <w:sz w:val="18"/>
      </w:rPr>
      <w:fldChar w:fldCharType="begin"/>
    </w:r>
    <w:r w:rsidRPr="007A357A">
      <w:rPr>
        <w:b/>
        <w:sz w:val="18"/>
      </w:rPr>
      <w:instrText xml:space="preserve"> PAGE  \* MERGEFORMAT </w:instrText>
    </w:r>
    <w:r w:rsidRPr="007A357A">
      <w:rPr>
        <w:b/>
        <w:sz w:val="18"/>
      </w:rPr>
      <w:fldChar w:fldCharType="separate"/>
    </w:r>
    <w:r>
      <w:rPr>
        <w:b/>
        <w:noProof/>
        <w:sz w:val="18"/>
      </w:rPr>
      <w:t>2</w:t>
    </w:r>
    <w:r w:rsidRPr="007A357A">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1" w:rsidRPr="007A357A" w:rsidRDefault="00D90491" w:rsidP="007A357A">
    <w:pPr>
      <w:pStyle w:val="Footer"/>
      <w:tabs>
        <w:tab w:val="right" w:pos="9638"/>
      </w:tabs>
      <w:rPr>
        <w:b/>
        <w:sz w:val="18"/>
      </w:rPr>
    </w:pPr>
    <w:r>
      <w:tab/>
    </w:r>
    <w:r w:rsidRPr="007A357A">
      <w:rPr>
        <w:b/>
        <w:sz w:val="18"/>
      </w:rPr>
      <w:fldChar w:fldCharType="begin"/>
    </w:r>
    <w:r w:rsidRPr="007A357A">
      <w:rPr>
        <w:b/>
        <w:sz w:val="18"/>
      </w:rPr>
      <w:instrText xml:space="preserve"> PAGE  \* MERGEFORMAT </w:instrText>
    </w:r>
    <w:r w:rsidRPr="007A357A">
      <w:rPr>
        <w:b/>
        <w:sz w:val="18"/>
      </w:rPr>
      <w:fldChar w:fldCharType="separate"/>
    </w:r>
    <w:r>
      <w:rPr>
        <w:b/>
        <w:noProof/>
        <w:sz w:val="18"/>
      </w:rPr>
      <w:t>9</w:t>
    </w:r>
    <w:r w:rsidRPr="007A357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1" w:rsidRPr="007A357A" w:rsidRDefault="00D90491">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Pr>
        <w:sz w:val="20"/>
      </w:rPr>
      <w:t>GE.13-49828</w:t>
    </w:r>
    <w:r>
      <w:rPr>
        <w:sz w:val="20"/>
      </w:rPr>
      <w:br/>
    </w:r>
    <w:r w:rsidRPr="00CB57BC">
      <w:rPr>
        <w:rFonts w:ascii="C39T30Lfz" w:hAnsi="C39T30Lfz"/>
        <w:sz w:val="56"/>
      </w:rPr>
      <w:t></w:t>
    </w:r>
    <w:r w:rsidRPr="00CB57BC">
      <w:rPr>
        <w:rFonts w:ascii="C39T30Lfz" w:hAnsi="C39T30Lfz"/>
        <w:sz w:val="56"/>
      </w:rPr>
      <w:t></w:t>
    </w:r>
    <w:r w:rsidRPr="00CB57BC">
      <w:rPr>
        <w:rFonts w:ascii="C39T30Lfz" w:hAnsi="C39T30Lfz"/>
        <w:sz w:val="56"/>
      </w:rPr>
      <w:t></w:t>
    </w:r>
    <w:r w:rsidRPr="00CB57BC">
      <w:rPr>
        <w:rFonts w:ascii="C39T30Lfz" w:hAnsi="C39T30Lfz"/>
        <w:sz w:val="56"/>
      </w:rPr>
      <w:t></w:t>
    </w:r>
    <w:r w:rsidRPr="00CB57BC">
      <w:rPr>
        <w:rFonts w:ascii="C39T30Lfz" w:hAnsi="C39T30Lfz"/>
        <w:sz w:val="56"/>
      </w:rPr>
      <w:t></w:t>
    </w:r>
    <w:r w:rsidRPr="00CB57BC">
      <w:rPr>
        <w:rFonts w:ascii="C39T30Lfz" w:hAnsi="C39T30Lfz"/>
        <w:sz w:val="56"/>
      </w:rPr>
      <w:t></w:t>
    </w:r>
    <w:r w:rsidRPr="00CB57BC">
      <w:rPr>
        <w:rFonts w:ascii="C39T30Lfz" w:hAnsi="C39T30Lfz"/>
        <w:sz w:val="56"/>
      </w:rPr>
      <w:t></w:t>
    </w:r>
    <w:r w:rsidRPr="00CB57BC">
      <w:rPr>
        <w:rFonts w:ascii="C39T30Lfz" w:hAnsi="C39T30Lfz"/>
        <w:sz w:val="56"/>
      </w:rPr>
      <w:t></w:t>
    </w:r>
    <w:r w:rsidRPr="00CB57BC">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491" w:rsidRPr="000B175B" w:rsidRDefault="00D90491" w:rsidP="000B175B">
      <w:pPr>
        <w:tabs>
          <w:tab w:val="right" w:pos="2155"/>
        </w:tabs>
        <w:spacing w:after="80"/>
        <w:ind w:left="680"/>
        <w:rPr>
          <w:u w:val="single"/>
        </w:rPr>
      </w:pPr>
      <w:r>
        <w:rPr>
          <w:u w:val="single"/>
        </w:rPr>
        <w:tab/>
      </w:r>
    </w:p>
  </w:footnote>
  <w:footnote w:type="continuationSeparator" w:id="0">
    <w:p w:rsidR="00D90491" w:rsidRPr="00FC68B7" w:rsidRDefault="00D90491" w:rsidP="00FC68B7">
      <w:pPr>
        <w:tabs>
          <w:tab w:val="left" w:pos="2155"/>
        </w:tabs>
        <w:spacing w:after="80"/>
        <w:ind w:left="680"/>
        <w:rPr>
          <w:u w:val="single"/>
        </w:rPr>
      </w:pPr>
      <w:r>
        <w:rPr>
          <w:u w:val="single"/>
        </w:rPr>
        <w:tab/>
      </w:r>
    </w:p>
  </w:footnote>
  <w:footnote w:type="continuationNotice" w:id="1">
    <w:p w:rsidR="00D90491" w:rsidRDefault="00D90491"/>
  </w:footnote>
  <w:footnote w:id="2">
    <w:p w:rsidR="00D90491" w:rsidRPr="00F3238A" w:rsidRDefault="00D90491">
      <w:pPr>
        <w:pStyle w:val="FootnoteText"/>
        <w:rPr>
          <w:lang w:val="en-US"/>
        </w:rPr>
      </w:pPr>
      <w:r>
        <w:tab/>
      </w:r>
      <w:r w:rsidRPr="002B753F">
        <w:rPr>
          <w:rStyle w:val="FootnoteReference"/>
          <w:sz w:val="20"/>
          <w:vertAlign w:val="baseline"/>
        </w:rPr>
        <w:t>*</w:t>
      </w:r>
      <w:r>
        <w:rPr>
          <w:sz w:val="20"/>
        </w:rPr>
        <w:tab/>
      </w:r>
      <w:r w:rsidRPr="00244066">
        <w:t>Adopted by the Committee at its fifty-first session (4</w:t>
      </w:r>
      <w:r>
        <w:t>–</w:t>
      </w:r>
      <w:r w:rsidRPr="00244066">
        <w:t>29 November 2013).</w:t>
      </w:r>
    </w:p>
  </w:footnote>
  <w:footnote w:id="3">
    <w:p w:rsidR="00D90491" w:rsidRDefault="00D90491" w:rsidP="00C77EB4">
      <w:pPr>
        <w:pStyle w:val="FootnoteText"/>
        <w:rPr>
          <w:rFonts w:cs="Angsana New"/>
          <w:szCs w:val="23"/>
          <w:lang w:val="en-US"/>
        </w:rPr>
      </w:pPr>
      <w:r>
        <w:tab/>
      </w:r>
      <w:r>
        <w:rPr>
          <w:rStyle w:val="FootnoteReference"/>
          <w:rFonts w:cs="Angsana New"/>
        </w:rPr>
        <w:footnoteRef/>
      </w:r>
      <w:r>
        <w:tab/>
      </w:r>
      <w:r>
        <w:rPr>
          <w:lang w:val="en-US"/>
        </w:rPr>
        <w:t>The delegation had statistical data on hand for the dialogue, but they were received too late to be used in the consideration of the report.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1" w:rsidRPr="007A357A" w:rsidRDefault="00D90491">
    <w:pPr>
      <w:pStyle w:val="Header"/>
    </w:pPr>
    <w:r>
      <w:t>E/C.12/KWT/CO/2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91" w:rsidRPr="007A357A" w:rsidRDefault="00D90491" w:rsidP="007A357A">
    <w:pPr>
      <w:pStyle w:val="Header"/>
      <w:jc w:val="right"/>
    </w:pPr>
    <w:r>
      <w:t>E/C.12/KWT/CO/2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3F3773"/>
    <w:multiLevelType w:val="hybridMultilevel"/>
    <w:tmpl w:val="4588E574"/>
    <w:lvl w:ilvl="0" w:tplc="267CC24E">
      <w:start w:val="1"/>
      <w:numFmt w:val="lowerLetter"/>
      <w:lvlText w:val="(%1)"/>
      <w:lvlJc w:val="left"/>
      <w:pPr>
        <w:tabs>
          <w:tab w:val="num" w:pos="1494"/>
        </w:tabs>
        <w:ind w:left="1494" w:hanging="360"/>
      </w:p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5">
    <w:nsid w:val="2F434C2D"/>
    <w:multiLevelType w:val="hybridMultilevel"/>
    <w:tmpl w:val="A4F8430C"/>
    <w:lvl w:ilvl="0" w:tplc="267CC24E">
      <w:start w:val="1"/>
      <w:numFmt w:val="lowerLetter"/>
      <w:lvlText w:val="(%1)"/>
      <w:lvlJc w:val="left"/>
      <w:pPr>
        <w:tabs>
          <w:tab w:val="num" w:pos="1637"/>
        </w:tabs>
        <w:ind w:left="1637" w:hanging="360"/>
      </w:pPr>
    </w:lvl>
    <w:lvl w:ilvl="1" w:tplc="04090019">
      <w:start w:val="1"/>
      <w:numFmt w:val="lowerLetter"/>
      <w:lvlText w:val="%2."/>
      <w:lvlJc w:val="left"/>
      <w:pPr>
        <w:tabs>
          <w:tab w:val="num" w:pos="2214"/>
        </w:tabs>
        <w:ind w:left="2214" w:hanging="360"/>
      </w:p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E9D4BD0"/>
    <w:multiLevelType w:val="hybridMultilevel"/>
    <w:tmpl w:val="47F85092"/>
    <w:lvl w:ilvl="0" w:tplc="29AAB2F8">
      <w:start w:val="1"/>
      <w:numFmt w:val="lowerLetter"/>
      <w:lvlText w:val="(%1)"/>
      <w:lvlJc w:val="left"/>
      <w:pPr>
        <w:ind w:left="2271"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B464DF"/>
    <w:multiLevelType w:val="multilevel"/>
    <w:tmpl w:val="964097CA"/>
    <w:lvl w:ilvl="0">
      <w:start w:val="1"/>
      <w:numFmt w:val="decimal"/>
      <w:lvlText w:val="%1."/>
      <w:lvlJc w:val="left"/>
      <w:pPr>
        <w:ind w:left="1853" w:hanging="576"/>
      </w:pPr>
      <w:rPr>
        <w:b w:val="0"/>
        <w:bCs w:val="0"/>
        <w:i w:val="0"/>
        <w:color w:val="auto"/>
        <w:sz w:val="20"/>
        <w:szCs w:val="20"/>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6BA1879"/>
    <w:multiLevelType w:val="hybridMultilevel"/>
    <w:tmpl w:val="2C3ECD96"/>
    <w:lvl w:ilvl="0" w:tplc="267CC24E">
      <w:start w:val="1"/>
      <w:numFmt w:val="lowerLetter"/>
      <w:lvlText w:val="(%1)"/>
      <w:lvlJc w:val="left"/>
      <w:pPr>
        <w:tabs>
          <w:tab w:val="num" w:pos="2061"/>
        </w:tabs>
        <w:ind w:left="2061" w:hanging="360"/>
      </w:p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21">
    <w:nsid w:val="49866DD2"/>
    <w:multiLevelType w:val="hybridMultilevel"/>
    <w:tmpl w:val="D11840BA"/>
    <w:lvl w:ilvl="0" w:tplc="BB08D66A">
      <w:start w:val="1"/>
      <w:numFmt w:val="lowerLetter"/>
      <w:lvlText w:val="(%1)"/>
      <w:lvlJc w:val="left"/>
      <w:pPr>
        <w:tabs>
          <w:tab w:val="num" w:pos="0"/>
        </w:tabs>
        <w:ind w:left="1134" w:firstLine="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751EA0"/>
    <w:multiLevelType w:val="hybridMultilevel"/>
    <w:tmpl w:val="E6EEFEE2"/>
    <w:lvl w:ilvl="0" w:tplc="BE1E0240">
      <w:start w:val="1"/>
      <w:numFmt w:val="lowerLetter"/>
      <w:lvlText w:val="(%1)"/>
      <w:lvlJc w:val="left"/>
      <w:pPr>
        <w:tabs>
          <w:tab w:val="num" w:pos="-846"/>
        </w:tabs>
        <w:ind w:left="1314" w:hanging="180"/>
      </w:pPr>
      <w:rPr>
        <w:rFonts w:cs="Times New Roman"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A404B44"/>
    <w:multiLevelType w:val="multilevel"/>
    <w:tmpl w:val="5CBE67EE"/>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
    <w:nsid w:val="7B570BF1"/>
    <w:multiLevelType w:val="hybridMultilevel"/>
    <w:tmpl w:val="FE7476A0"/>
    <w:lvl w:ilvl="0" w:tplc="F44462D2">
      <w:start w:val="1"/>
      <w:numFmt w:val="decimal"/>
      <w:lvlText w:val="%1."/>
      <w:lvlJc w:val="left"/>
      <w:pPr>
        <w:tabs>
          <w:tab w:val="num" w:pos="1637"/>
        </w:tabs>
        <w:ind w:left="1637" w:hanging="360"/>
      </w:pPr>
      <w:rPr>
        <w:rFonts w:hint="default"/>
        <w:b w:val="0"/>
        <w:bCs w:val="0"/>
        <w:i w:val="0"/>
        <w:color w:val="auto"/>
        <w:sz w:val="20"/>
        <w:szCs w:val="20"/>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1"/>
  </w:num>
  <w:num w:numId="15">
    <w:abstractNumId w:val="17"/>
  </w:num>
  <w:num w:numId="16">
    <w:abstractNumId w:val="12"/>
  </w:num>
  <w:num w:numId="17">
    <w:abstractNumId w:val="22"/>
  </w:num>
  <w:num w:numId="18">
    <w:abstractNumId w:val="24"/>
  </w:num>
  <w:num w:numId="19">
    <w:abstractNumId w:val="2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num>
  <w:num w:numId="27">
    <w:abstractNumId w:val="26"/>
  </w:num>
  <w:num w:numId="28">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357A"/>
    <w:rsid w:val="00000D90"/>
    <w:rsid w:val="00002A7D"/>
    <w:rsid w:val="000038A8"/>
    <w:rsid w:val="00006790"/>
    <w:rsid w:val="00013D5D"/>
    <w:rsid w:val="000170BF"/>
    <w:rsid w:val="00027624"/>
    <w:rsid w:val="00050F6B"/>
    <w:rsid w:val="00057F81"/>
    <w:rsid w:val="0006369B"/>
    <w:rsid w:val="000678CD"/>
    <w:rsid w:val="00067C92"/>
    <w:rsid w:val="00072C8C"/>
    <w:rsid w:val="00077CC7"/>
    <w:rsid w:val="0008048B"/>
    <w:rsid w:val="00081CE0"/>
    <w:rsid w:val="00084D30"/>
    <w:rsid w:val="00090320"/>
    <w:rsid w:val="000931C0"/>
    <w:rsid w:val="000951C8"/>
    <w:rsid w:val="000A2E09"/>
    <w:rsid w:val="000B175B"/>
    <w:rsid w:val="000B3A0F"/>
    <w:rsid w:val="000B4E5B"/>
    <w:rsid w:val="000D2675"/>
    <w:rsid w:val="000E0415"/>
    <w:rsid w:val="000F0227"/>
    <w:rsid w:val="000F7715"/>
    <w:rsid w:val="00107B10"/>
    <w:rsid w:val="00127CB8"/>
    <w:rsid w:val="001559C2"/>
    <w:rsid w:val="00156B99"/>
    <w:rsid w:val="00166124"/>
    <w:rsid w:val="00166B89"/>
    <w:rsid w:val="00177950"/>
    <w:rsid w:val="00184DDA"/>
    <w:rsid w:val="001900CD"/>
    <w:rsid w:val="001920AF"/>
    <w:rsid w:val="001A0452"/>
    <w:rsid w:val="001A556F"/>
    <w:rsid w:val="001B3382"/>
    <w:rsid w:val="001B4B04"/>
    <w:rsid w:val="001B5875"/>
    <w:rsid w:val="001B74D9"/>
    <w:rsid w:val="001C4B9C"/>
    <w:rsid w:val="001C6508"/>
    <w:rsid w:val="001C6663"/>
    <w:rsid w:val="001C7505"/>
    <w:rsid w:val="001C7895"/>
    <w:rsid w:val="001D26DF"/>
    <w:rsid w:val="001E1B4F"/>
    <w:rsid w:val="001F1599"/>
    <w:rsid w:val="001F19C4"/>
    <w:rsid w:val="001F36F8"/>
    <w:rsid w:val="002043F0"/>
    <w:rsid w:val="00211094"/>
    <w:rsid w:val="00211E0B"/>
    <w:rsid w:val="002136F2"/>
    <w:rsid w:val="0021393F"/>
    <w:rsid w:val="002237BA"/>
    <w:rsid w:val="00227652"/>
    <w:rsid w:val="00227C88"/>
    <w:rsid w:val="00230E91"/>
    <w:rsid w:val="00232575"/>
    <w:rsid w:val="0023637F"/>
    <w:rsid w:val="00244066"/>
    <w:rsid w:val="00247258"/>
    <w:rsid w:val="00257CAC"/>
    <w:rsid w:val="0027237A"/>
    <w:rsid w:val="00272639"/>
    <w:rsid w:val="00272B50"/>
    <w:rsid w:val="00287B29"/>
    <w:rsid w:val="00290B0B"/>
    <w:rsid w:val="00296920"/>
    <w:rsid w:val="002974E9"/>
    <w:rsid w:val="002A4712"/>
    <w:rsid w:val="002A569F"/>
    <w:rsid w:val="002A7F94"/>
    <w:rsid w:val="002B109A"/>
    <w:rsid w:val="002B2C0F"/>
    <w:rsid w:val="002B753F"/>
    <w:rsid w:val="002C02B4"/>
    <w:rsid w:val="002C062D"/>
    <w:rsid w:val="002C0A64"/>
    <w:rsid w:val="002C4235"/>
    <w:rsid w:val="002C5A49"/>
    <w:rsid w:val="002C6D45"/>
    <w:rsid w:val="002D6E53"/>
    <w:rsid w:val="002D73F0"/>
    <w:rsid w:val="002E5B63"/>
    <w:rsid w:val="002F046D"/>
    <w:rsid w:val="00301764"/>
    <w:rsid w:val="003229D8"/>
    <w:rsid w:val="00336C97"/>
    <w:rsid w:val="00337F88"/>
    <w:rsid w:val="00340951"/>
    <w:rsid w:val="00342432"/>
    <w:rsid w:val="0035223F"/>
    <w:rsid w:val="00352D4B"/>
    <w:rsid w:val="00353ED6"/>
    <w:rsid w:val="0035638C"/>
    <w:rsid w:val="00363498"/>
    <w:rsid w:val="00373347"/>
    <w:rsid w:val="00374562"/>
    <w:rsid w:val="00386C71"/>
    <w:rsid w:val="0039243A"/>
    <w:rsid w:val="003A46BB"/>
    <w:rsid w:val="003A4EC7"/>
    <w:rsid w:val="003A7295"/>
    <w:rsid w:val="003B1F60"/>
    <w:rsid w:val="003B2DDB"/>
    <w:rsid w:val="003C2CC4"/>
    <w:rsid w:val="003D32FD"/>
    <w:rsid w:val="003D4B23"/>
    <w:rsid w:val="003D521B"/>
    <w:rsid w:val="003E278A"/>
    <w:rsid w:val="003F0101"/>
    <w:rsid w:val="00406C30"/>
    <w:rsid w:val="00413520"/>
    <w:rsid w:val="00423454"/>
    <w:rsid w:val="00425301"/>
    <w:rsid w:val="004325CB"/>
    <w:rsid w:val="004334DB"/>
    <w:rsid w:val="00440A07"/>
    <w:rsid w:val="00442632"/>
    <w:rsid w:val="0045182E"/>
    <w:rsid w:val="004552AF"/>
    <w:rsid w:val="00462880"/>
    <w:rsid w:val="0046608D"/>
    <w:rsid w:val="0047044A"/>
    <w:rsid w:val="00476F24"/>
    <w:rsid w:val="00487004"/>
    <w:rsid w:val="004974C1"/>
    <w:rsid w:val="004B4984"/>
    <w:rsid w:val="004B5416"/>
    <w:rsid w:val="004C55B0"/>
    <w:rsid w:val="004E724F"/>
    <w:rsid w:val="004F6BA0"/>
    <w:rsid w:val="00503BEA"/>
    <w:rsid w:val="00526020"/>
    <w:rsid w:val="00533616"/>
    <w:rsid w:val="00535ABA"/>
    <w:rsid w:val="0053768B"/>
    <w:rsid w:val="00537703"/>
    <w:rsid w:val="005420F2"/>
    <w:rsid w:val="0054285C"/>
    <w:rsid w:val="005457F0"/>
    <w:rsid w:val="005572CB"/>
    <w:rsid w:val="0056139B"/>
    <w:rsid w:val="00583F37"/>
    <w:rsid w:val="00584173"/>
    <w:rsid w:val="00591083"/>
    <w:rsid w:val="00595520"/>
    <w:rsid w:val="005A176B"/>
    <w:rsid w:val="005A44B9"/>
    <w:rsid w:val="005B0254"/>
    <w:rsid w:val="005B1BA0"/>
    <w:rsid w:val="005B3DB3"/>
    <w:rsid w:val="005B6D96"/>
    <w:rsid w:val="005C7316"/>
    <w:rsid w:val="005D15CA"/>
    <w:rsid w:val="005D1FE8"/>
    <w:rsid w:val="005D76DA"/>
    <w:rsid w:val="005F08DF"/>
    <w:rsid w:val="005F3066"/>
    <w:rsid w:val="005F3E61"/>
    <w:rsid w:val="005F7FD6"/>
    <w:rsid w:val="00604DDD"/>
    <w:rsid w:val="006115CC"/>
    <w:rsid w:val="00611FC4"/>
    <w:rsid w:val="00614207"/>
    <w:rsid w:val="006176FB"/>
    <w:rsid w:val="00630FCB"/>
    <w:rsid w:val="00640B26"/>
    <w:rsid w:val="00667560"/>
    <w:rsid w:val="00676F8F"/>
    <w:rsid w:val="006770B2"/>
    <w:rsid w:val="006940E1"/>
    <w:rsid w:val="006A06D9"/>
    <w:rsid w:val="006A3C72"/>
    <w:rsid w:val="006A7392"/>
    <w:rsid w:val="006B03A1"/>
    <w:rsid w:val="006B5155"/>
    <w:rsid w:val="006B67D9"/>
    <w:rsid w:val="006C43E3"/>
    <w:rsid w:val="006C5535"/>
    <w:rsid w:val="006C5A63"/>
    <w:rsid w:val="006C7CA2"/>
    <w:rsid w:val="006D0589"/>
    <w:rsid w:val="006D1B86"/>
    <w:rsid w:val="006D6F1E"/>
    <w:rsid w:val="006E2409"/>
    <w:rsid w:val="006E564B"/>
    <w:rsid w:val="006E7154"/>
    <w:rsid w:val="006F116F"/>
    <w:rsid w:val="006F1401"/>
    <w:rsid w:val="007003CD"/>
    <w:rsid w:val="00701308"/>
    <w:rsid w:val="0070701E"/>
    <w:rsid w:val="0071621D"/>
    <w:rsid w:val="0072632A"/>
    <w:rsid w:val="00727603"/>
    <w:rsid w:val="007358E8"/>
    <w:rsid w:val="00736ECE"/>
    <w:rsid w:val="0074533B"/>
    <w:rsid w:val="00762DD0"/>
    <w:rsid w:val="0076349B"/>
    <w:rsid w:val="007643BC"/>
    <w:rsid w:val="0076716C"/>
    <w:rsid w:val="00772485"/>
    <w:rsid w:val="00782096"/>
    <w:rsid w:val="007842E9"/>
    <w:rsid w:val="007959FE"/>
    <w:rsid w:val="007A0CF1"/>
    <w:rsid w:val="007A357A"/>
    <w:rsid w:val="007B6BA5"/>
    <w:rsid w:val="007C3390"/>
    <w:rsid w:val="007C42D8"/>
    <w:rsid w:val="007C4F4B"/>
    <w:rsid w:val="007D2C44"/>
    <w:rsid w:val="007D7362"/>
    <w:rsid w:val="007F5CE2"/>
    <w:rsid w:val="007F6611"/>
    <w:rsid w:val="00810BAC"/>
    <w:rsid w:val="008175E9"/>
    <w:rsid w:val="008242D7"/>
    <w:rsid w:val="0082577B"/>
    <w:rsid w:val="00837175"/>
    <w:rsid w:val="00856FF9"/>
    <w:rsid w:val="00857188"/>
    <w:rsid w:val="00866893"/>
    <w:rsid w:val="00866F02"/>
    <w:rsid w:val="00867D18"/>
    <w:rsid w:val="00871F9A"/>
    <w:rsid w:val="00871FD5"/>
    <w:rsid w:val="00874E87"/>
    <w:rsid w:val="0088172E"/>
    <w:rsid w:val="00881EFA"/>
    <w:rsid w:val="008879CB"/>
    <w:rsid w:val="00891A64"/>
    <w:rsid w:val="0089271E"/>
    <w:rsid w:val="008979B1"/>
    <w:rsid w:val="008A6B25"/>
    <w:rsid w:val="008A6C4F"/>
    <w:rsid w:val="008B389E"/>
    <w:rsid w:val="008B406F"/>
    <w:rsid w:val="008C1500"/>
    <w:rsid w:val="008C5D86"/>
    <w:rsid w:val="008C7B6F"/>
    <w:rsid w:val="008D045E"/>
    <w:rsid w:val="008D3F25"/>
    <w:rsid w:val="008D4D82"/>
    <w:rsid w:val="008D5770"/>
    <w:rsid w:val="008D6101"/>
    <w:rsid w:val="008E0E46"/>
    <w:rsid w:val="008E7116"/>
    <w:rsid w:val="008F143B"/>
    <w:rsid w:val="008F31D1"/>
    <w:rsid w:val="008F3882"/>
    <w:rsid w:val="008F4B7C"/>
    <w:rsid w:val="0091083C"/>
    <w:rsid w:val="0092187A"/>
    <w:rsid w:val="00926E47"/>
    <w:rsid w:val="009332C1"/>
    <w:rsid w:val="00934A2B"/>
    <w:rsid w:val="009354C7"/>
    <w:rsid w:val="0094523B"/>
    <w:rsid w:val="00947162"/>
    <w:rsid w:val="009610D0"/>
    <w:rsid w:val="0096375C"/>
    <w:rsid w:val="009662E6"/>
    <w:rsid w:val="0097095E"/>
    <w:rsid w:val="0098029D"/>
    <w:rsid w:val="00984D9C"/>
    <w:rsid w:val="0098592B"/>
    <w:rsid w:val="00985FC4"/>
    <w:rsid w:val="00987ECE"/>
    <w:rsid w:val="00990766"/>
    <w:rsid w:val="00991261"/>
    <w:rsid w:val="00995786"/>
    <w:rsid w:val="009964C4"/>
    <w:rsid w:val="00997046"/>
    <w:rsid w:val="009A7B81"/>
    <w:rsid w:val="009B088C"/>
    <w:rsid w:val="009B7252"/>
    <w:rsid w:val="009D01C0"/>
    <w:rsid w:val="009D6A08"/>
    <w:rsid w:val="009E0A16"/>
    <w:rsid w:val="009E2825"/>
    <w:rsid w:val="009E6CB7"/>
    <w:rsid w:val="009E7970"/>
    <w:rsid w:val="009F2EAC"/>
    <w:rsid w:val="009F57E3"/>
    <w:rsid w:val="00A10F4F"/>
    <w:rsid w:val="00A11067"/>
    <w:rsid w:val="00A14259"/>
    <w:rsid w:val="00A15AD0"/>
    <w:rsid w:val="00A1704A"/>
    <w:rsid w:val="00A21134"/>
    <w:rsid w:val="00A425EB"/>
    <w:rsid w:val="00A50E7C"/>
    <w:rsid w:val="00A72F22"/>
    <w:rsid w:val="00A733BC"/>
    <w:rsid w:val="00A748A6"/>
    <w:rsid w:val="00A75E9B"/>
    <w:rsid w:val="00A76A69"/>
    <w:rsid w:val="00A83E6F"/>
    <w:rsid w:val="00A879A4"/>
    <w:rsid w:val="00AA0FF8"/>
    <w:rsid w:val="00AA4BDA"/>
    <w:rsid w:val="00AA7BA2"/>
    <w:rsid w:val="00AB678D"/>
    <w:rsid w:val="00AC0F2C"/>
    <w:rsid w:val="00AC502A"/>
    <w:rsid w:val="00AE4264"/>
    <w:rsid w:val="00AE49BA"/>
    <w:rsid w:val="00AE4C77"/>
    <w:rsid w:val="00AE6038"/>
    <w:rsid w:val="00AF58C1"/>
    <w:rsid w:val="00B04A3F"/>
    <w:rsid w:val="00B06643"/>
    <w:rsid w:val="00B10CEC"/>
    <w:rsid w:val="00B15055"/>
    <w:rsid w:val="00B30179"/>
    <w:rsid w:val="00B37B15"/>
    <w:rsid w:val="00B45C02"/>
    <w:rsid w:val="00B53E34"/>
    <w:rsid w:val="00B70B63"/>
    <w:rsid w:val="00B71042"/>
    <w:rsid w:val="00B72A1E"/>
    <w:rsid w:val="00B81E12"/>
    <w:rsid w:val="00BA339B"/>
    <w:rsid w:val="00BB5994"/>
    <w:rsid w:val="00BC1E7E"/>
    <w:rsid w:val="00BC58E9"/>
    <w:rsid w:val="00BC74E9"/>
    <w:rsid w:val="00BE205E"/>
    <w:rsid w:val="00BE36A9"/>
    <w:rsid w:val="00BE618E"/>
    <w:rsid w:val="00BE7BEC"/>
    <w:rsid w:val="00BF0A5A"/>
    <w:rsid w:val="00BF0E63"/>
    <w:rsid w:val="00BF12A3"/>
    <w:rsid w:val="00BF16D7"/>
    <w:rsid w:val="00BF2373"/>
    <w:rsid w:val="00C044E2"/>
    <w:rsid w:val="00C048CB"/>
    <w:rsid w:val="00C066F3"/>
    <w:rsid w:val="00C1063B"/>
    <w:rsid w:val="00C13E4F"/>
    <w:rsid w:val="00C2279D"/>
    <w:rsid w:val="00C4363D"/>
    <w:rsid w:val="00C463DD"/>
    <w:rsid w:val="00C745C3"/>
    <w:rsid w:val="00C77EB4"/>
    <w:rsid w:val="00CA24A4"/>
    <w:rsid w:val="00CA295F"/>
    <w:rsid w:val="00CB1D4F"/>
    <w:rsid w:val="00CB348D"/>
    <w:rsid w:val="00CB57BC"/>
    <w:rsid w:val="00CC37FE"/>
    <w:rsid w:val="00CC5437"/>
    <w:rsid w:val="00CD46F5"/>
    <w:rsid w:val="00CE4A8F"/>
    <w:rsid w:val="00CF071D"/>
    <w:rsid w:val="00CF3727"/>
    <w:rsid w:val="00CF6839"/>
    <w:rsid w:val="00D01B1E"/>
    <w:rsid w:val="00D15B04"/>
    <w:rsid w:val="00D2031B"/>
    <w:rsid w:val="00D25FE2"/>
    <w:rsid w:val="00D320EB"/>
    <w:rsid w:val="00D37DA9"/>
    <w:rsid w:val="00D406A7"/>
    <w:rsid w:val="00D43252"/>
    <w:rsid w:val="00D44D86"/>
    <w:rsid w:val="00D50B7D"/>
    <w:rsid w:val="00D52012"/>
    <w:rsid w:val="00D704E5"/>
    <w:rsid w:val="00D72727"/>
    <w:rsid w:val="00D83A18"/>
    <w:rsid w:val="00D90491"/>
    <w:rsid w:val="00D978C6"/>
    <w:rsid w:val="00DA0956"/>
    <w:rsid w:val="00DA357F"/>
    <w:rsid w:val="00DA3E12"/>
    <w:rsid w:val="00DA6217"/>
    <w:rsid w:val="00DC18AD"/>
    <w:rsid w:val="00DC206F"/>
    <w:rsid w:val="00DF433E"/>
    <w:rsid w:val="00DF7CAE"/>
    <w:rsid w:val="00E064F5"/>
    <w:rsid w:val="00E10322"/>
    <w:rsid w:val="00E11F2C"/>
    <w:rsid w:val="00E343EA"/>
    <w:rsid w:val="00E423C0"/>
    <w:rsid w:val="00E47FED"/>
    <w:rsid w:val="00E62AC9"/>
    <w:rsid w:val="00E63989"/>
    <w:rsid w:val="00E6414C"/>
    <w:rsid w:val="00E7260F"/>
    <w:rsid w:val="00E8702D"/>
    <w:rsid w:val="00E91100"/>
    <w:rsid w:val="00E916A9"/>
    <w:rsid w:val="00E916DE"/>
    <w:rsid w:val="00E925AD"/>
    <w:rsid w:val="00E95170"/>
    <w:rsid w:val="00E96630"/>
    <w:rsid w:val="00ED18DC"/>
    <w:rsid w:val="00ED37BD"/>
    <w:rsid w:val="00ED6201"/>
    <w:rsid w:val="00ED7A2A"/>
    <w:rsid w:val="00EE3678"/>
    <w:rsid w:val="00EE3A03"/>
    <w:rsid w:val="00EF1D7F"/>
    <w:rsid w:val="00EF27D8"/>
    <w:rsid w:val="00EF5149"/>
    <w:rsid w:val="00F0137E"/>
    <w:rsid w:val="00F01872"/>
    <w:rsid w:val="00F032DA"/>
    <w:rsid w:val="00F21786"/>
    <w:rsid w:val="00F3238A"/>
    <w:rsid w:val="00F32EC5"/>
    <w:rsid w:val="00F3742B"/>
    <w:rsid w:val="00F41FDB"/>
    <w:rsid w:val="00F47588"/>
    <w:rsid w:val="00F56D63"/>
    <w:rsid w:val="00F609A9"/>
    <w:rsid w:val="00F80C99"/>
    <w:rsid w:val="00F867EC"/>
    <w:rsid w:val="00F91B2B"/>
    <w:rsid w:val="00FA080F"/>
    <w:rsid w:val="00FB1853"/>
    <w:rsid w:val="00FC03CD"/>
    <w:rsid w:val="00FC0646"/>
    <w:rsid w:val="00FC68B7"/>
    <w:rsid w:val="00FE6985"/>
    <w:rsid w:val="00FF34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lang/>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
    <w:qFormat/>
    <w:rsid w:val="00E925AD"/>
    <w:rPr>
      <w:rFonts w:ascii="Times New Roman" w:hAnsi="Times New Roman"/>
      <w:sz w:val="18"/>
      <w:vertAlign w:val="superscript"/>
    </w:rPr>
  </w:style>
  <w:style w:type="paragraph" w:styleId="FootnoteText">
    <w:name w:val="footnote text"/>
    <w:aliases w:val="5_G,Footnote Text Char1,Footnote Text Char Char,Char,Char Char Char,Char Char Char Char,single space,Footnote Text Char Char Char Char Char Char Char, Char, Char Char Char, Char Char Char Char,Note de bas de page2,Текст сноски Знак,footnot"/>
    <w:basedOn w:val="Normal"/>
    <w:link w:val="FootnoteTextChar"/>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 Char Char, Char Char Char Char1"/>
    <w:link w:val="FootnoteText"/>
    <w:rsid w:val="007A357A"/>
    <w:rPr>
      <w:sz w:val="18"/>
      <w:lang w:eastAsia="en-US"/>
    </w:rPr>
  </w:style>
  <w:style w:type="character" w:customStyle="1" w:styleId="SingleTxtGChar">
    <w:name w:val="_ Single Txt_G Char"/>
    <w:link w:val="SingleTxtG"/>
    <w:locked/>
    <w:rsid w:val="007A357A"/>
    <w:rPr>
      <w:lang w:eastAsia="en-US"/>
    </w:rPr>
  </w:style>
  <w:style w:type="character" w:customStyle="1" w:styleId="HChGChar">
    <w:name w:val="_ H _Ch_G Char"/>
    <w:link w:val="HChG"/>
    <w:rsid w:val="007A357A"/>
    <w:rPr>
      <w:b/>
      <w:sz w:val="28"/>
      <w:lang w:eastAsia="en-US"/>
    </w:rPr>
  </w:style>
  <w:style w:type="character" w:customStyle="1" w:styleId="highlight1">
    <w:name w:val="highlight1"/>
    <w:rsid w:val="0023637F"/>
    <w:rPr>
      <w:shd w:val="clear" w:color="auto" w:fill="FFCC33"/>
    </w:rPr>
  </w:style>
  <w:style w:type="paragraph" w:styleId="Revision">
    <w:name w:val="Revision"/>
    <w:hidden/>
    <w:uiPriority w:val="99"/>
    <w:semiHidden/>
    <w:rsid w:val="006D6F1E"/>
    <w:rPr>
      <w:lang w:val="en-GB"/>
    </w:rPr>
  </w:style>
  <w:style w:type="paragraph" w:styleId="BalloonText">
    <w:name w:val="Balloon Text"/>
    <w:basedOn w:val="Normal"/>
    <w:link w:val="BalloonTextChar"/>
    <w:rsid w:val="006D6F1E"/>
    <w:pPr>
      <w:spacing w:line="240" w:lineRule="auto"/>
    </w:pPr>
    <w:rPr>
      <w:rFonts w:ascii="Tahoma" w:hAnsi="Tahoma"/>
      <w:sz w:val="16"/>
      <w:szCs w:val="16"/>
    </w:rPr>
  </w:style>
  <w:style w:type="character" w:customStyle="1" w:styleId="BalloonTextChar">
    <w:name w:val="Balloon Text Char"/>
    <w:link w:val="BalloonText"/>
    <w:rsid w:val="006D6F1E"/>
    <w:rPr>
      <w:rFonts w:ascii="Tahoma" w:hAnsi="Tahoma" w:cs="Tahoma"/>
      <w:sz w:val="16"/>
      <w:szCs w:val="16"/>
      <w:lang w:val="en-GB" w:eastAsia="en-US"/>
    </w:rPr>
  </w:style>
  <w:style w:type="character" w:styleId="CommentReference">
    <w:name w:val="annotation reference"/>
    <w:rsid w:val="005C7316"/>
    <w:rPr>
      <w:sz w:val="16"/>
      <w:szCs w:val="16"/>
    </w:rPr>
  </w:style>
  <w:style w:type="paragraph" w:styleId="CommentText">
    <w:name w:val="annotation text"/>
    <w:basedOn w:val="Normal"/>
    <w:link w:val="CommentTextChar"/>
    <w:rsid w:val="005C7316"/>
    <w:pPr>
      <w:spacing w:line="240" w:lineRule="auto"/>
    </w:pPr>
  </w:style>
  <w:style w:type="character" w:customStyle="1" w:styleId="CommentTextChar">
    <w:name w:val="Comment Text Char"/>
    <w:link w:val="CommentText"/>
    <w:rsid w:val="005C7316"/>
    <w:rPr>
      <w:lang w:val="en-GB" w:eastAsia="en-US"/>
    </w:rPr>
  </w:style>
  <w:style w:type="paragraph" w:styleId="CommentSubject">
    <w:name w:val="annotation subject"/>
    <w:basedOn w:val="CommentText"/>
    <w:next w:val="CommentText"/>
    <w:link w:val="CommentSubjectChar"/>
    <w:rsid w:val="005C7316"/>
    <w:rPr>
      <w:b/>
      <w:bCs/>
    </w:rPr>
  </w:style>
  <w:style w:type="character" w:customStyle="1" w:styleId="CommentSubjectChar">
    <w:name w:val="Comment Subject Char"/>
    <w:link w:val="CommentSubject"/>
    <w:rsid w:val="005C7316"/>
    <w:rPr>
      <w:b/>
      <w:bCs/>
      <w:lang w:val="en-GB"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9</Pages>
  <Words>4290</Words>
  <Characters>24453</Characters>
  <Application>Microsoft Office Outlook</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PACIS MAMANGUN</cp:lastModifiedBy>
  <cp:revision>2</cp:revision>
  <cp:lastPrinted>2013-12-05T10:47:00Z</cp:lastPrinted>
  <dcterms:created xsi:type="dcterms:W3CDTF">2013-12-20T15:32:00Z</dcterms:created>
  <dcterms:modified xsi:type="dcterms:W3CDTF">2013-12-20T15:32:00Z</dcterms:modified>
</cp:coreProperties>
</file>